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A4" w:rsidRPr="00EB41A4" w:rsidRDefault="00EB41A4" w:rsidP="00EB41A4">
      <w:pPr>
        <w:shd w:val="clear" w:color="auto" w:fill="F8F8F6"/>
        <w:spacing w:before="120" w:after="12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Звіт</w:t>
      </w: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br/>
        <w:t>про базове відстеження результативності дії </w:t>
      </w: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br/>
        <w:t>регуляторного акта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1. Вид та назва регуляторного акта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Постанова Кабінету Міністрів України від 18 листопада 2015 року № 960 «Про затвердження Ліцензійних умов провадження охоронної діяльності» (далі – регуляторний акт).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2. Назва виконавця заходів з відстеження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Міністерство внутрішніх справ України.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  <w:bookmarkStart w:id="0" w:name="_GoBack"/>
      <w:bookmarkEnd w:id="0"/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3. Цілі прийняття акта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Метою прийняття </w:t>
      </w:r>
      <w:proofErr w:type="spellStart"/>
      <w:r w:rsidRPr="00EB41A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регуляторного акт</w:t>
      </w:r>
      <w:proofErr w:type="spellEnd"/>
      <w:r w:rsidRPr="00EB41A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а є </w:t>
      </w: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приведення його у відповідність до вимог Закону України «Про ліцензування видів господарської діяльності» для </w:t>
      </w:r>
      <w:r w:rsidRPr="00EB41A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в</w:t>
      </w: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изначення єдиного порядку здійснення охоронної діяльності суб’єктами господарювання, які надають охоронні послуги</w:t>
      </w:r>
      <w:r w:rsidRPr="00EB41A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4. Строк виконання заходів з відстеження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 11 січня по 11 лютого 2016 року.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5. Тип відстеження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Базове.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6. Методи одержання результатів відстеження</w:t>
      </w:r>
    </w:p>
    <w:p w:rsidR="00EB41A4" w:rsidRPr="00EB41A4" w:rsidRDefault="00EB41A4" w:rsidP="00EB41A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Методом одержання результатів відстеження є отримання статистичних даних шляхом аналізу звернень суб’єктів охоронної діяльності, персоналу охорони, громадських організацій та замовників охоронних послуг до органу ліцензування щодо надання пропозицій та зауважень до регуляторного акта.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7. Дані та припущення, на основі яких відстежувалася результативність, а також способи одержання даних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Відстеження результативності </w:t>
      </w:r>
      <w:proofErr w:type="spellStart"/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регуляторного ак</w:t>
      </w:r>
      <w:proofErr w:type="spellEnd"/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та проводилося відповідно до Методики відстеження результативності регуляторного акта, затвердженої постановою кабінету Міністрів України від 11 березня 2004 року № 308, шляхом оцінки таких статистичних показників: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кількість суб’єктів господарювання, на яких поширюється дія регуляторногоакта;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кількість заяв про видачу ліцензій на провадження охоронної діяльності;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кількість пропозицій та клопотань фізичних і юридичних осіб щодо вдосконалення норм регуляторного акта;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кількість звернень та скарг на діяльність суб’єктів господарювання, на якихпоширюється дія регуляторного акта;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рівень поінформованості суб’єктів господарювання щодо основних положень регуляторного акта.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>Статистичні показники отримано шляхом їх надходження безпосередньо до Міністерства внутрішніх справ.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8. Кількісні та якісні значення показників результативності акта</w:t>
      </w:r>
    </w:p>
    <w:tbl>
      <w:tblPr>
        <w:tblW w:w="71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9"/>
        <w:gridCol w:w="2402"/>
        <w:gridCol w:w="980"/>
      </w:tblGrid>
      <w:tr w:rsidR="00EB41A4" w:rsidRPr="00EB41A4" w:rsidTr="00EB41A4">
        <w:trPr>
          <w:jc w:val="center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Показник</w:t>
            </w:r>
            <w:proofErr w:type="spellEnd"/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 </w:t>
            </w: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оперативнимиданими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Одиницівиміру</w:t>
            </w:r>
            <w:proofErr w:type="spellEnd"/>
          </w:p>
        </w:tc>
      </w:tr>
      <w:tr w:rsidR="00EB41A4" w:rsidRPr="00EB41A4" w:rsidTr="00EB41A4">
        <w:trPr>
          <w:jc w:val="center"/>
        </w:trPr>
        <w:tc>
          <w:tcPr>
            <w:tcW w:w="2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Розмі</w:t>
            </w:r>
            <w:proofErr w:type="gram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витратдержавного</w:t>
            </w:r>
            <w:proofErr w:type="spell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бюджету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 </w:t>
            </w: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потребуєвиділеннядодаткових</w:t>
            </w:r>
            <w:proofErr w:type="spell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коштівз</w:t>
            </w:r>
            <w:proofErr w:type="spell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державного</w:t>
            </w:r>
            <w:proofErr w:type="gram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бюджету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Гривні</w:t>
            </w:r>
            <w:proofErr w:type="spellEnd"/>
          </w:p>
        </w:tc>
      </w:tr>
      <w:tr w:rsidR="00EB41A4" w:rsidRPr="00EB41A4" w:rsidTr="00EB41A4">
        <w:trPr>
          <w:trHeight w:val="885"/>
          <w:jc w:val="center"/>
        </w:trPr>
        <w:tc>
          <w:tcPr>
            <w:tcW w:w="2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Кількість суб’єктівгосподарювання, наяких поширюється діярегуляторного акта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5342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Штуки</w:t>
            </w:r>
          </w:p>
        </w:tc>
      </w:tr>
      <w:tr w:rsidR="00EB41A4" w:rsidRPr="00EB41A4" w:rsidTr="00EB41A4">
        <w:trPr>
          <w:trHeight w:val="1324"/>
          <w:jc w:val="center"/>
        </w:trPr>
        <w:tc>
          <w:tcPr>
            <w:tcW w:w="2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Кількість заяв про видачу ліцензій на охоронну діяльність за період базового відстеження результативності регуляторного акта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Штуки</w:t>
            </w:r>
          </w:p>
        </w:tc>
      </w:tr>
      <w:tr w:rsidR="00EB41A4" w:rsidRPr="00EB41A4" w:rsidTr="00EB41A4">
        <w:trPr>
          <w:jc w:val="center"/>
        </w:trPr>
        <w:tc>
          <w:tcPr>
            <w:tcW w:w="2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Кількість пропозицій та клопотань фізичних і юридичних </w:t>
            </w:r>
            <w:proofErr w:type="gram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осіб</w:t>
            </w:r>
            <w:proofErr w:type="gram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щодовдосконалення норм регуляторного акта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Штуки</w:t>
            </w:r>
          </w:p>
        </w:tc>
      </w:tr>
      <w:tr w:rsidR="00EB41A4" w:rsidRPr="00EB41A4" w:rsidTr="00EB41A4">
        <w:trPr>
          <w:jc w:val="center"/>
        </w:trPr>
        <w:tc>
          <w:tcPr>
            <w:tcW w:w="2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Кількість звернень та скарг щодо діяльностісуб’єктівгосподарювання, наяких поширюється діярегуляторного акта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Штуки</w:t>
            </w:r>
          </w:p>
        </w:tc>
      </w:tr>
      <w:tr w:rsidR="00EB41A4" w:rsidRPr="00EB41A4" w:rsidTr="00EB41A4">
        <w:trPr>
          <w:jc w:val="center"/>
        </w:trPr>
        <w:tc>
          <w:tcPr>
            <w:tcW w:w="2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івень поінформованостісуб’єктівгосподарювання щодоосновних положеньрегуляторного акта </w:t>
            </w: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високий</w:t>
            </w:r>
            <w:proofErr w:type="spell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 Акт </w:t>
            </w: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розміщенона</w:t>
            </w:r>
            <w:proofErr w:type="spell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офіційних</w:t>
            </w:r>
            <w:proofErr w:type="spell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сайтах </w:t>
            </w: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Верховно</w:t>
            </w:r>
            <w:proofErr w:type="gram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ї</w:t>
            </w:r>
            <w:proofErr w:type="spell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Р</w:t>
            </w:r>
            <w:proofErr w:type="gram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ади </w:t>
            </w:r>
            <w:proofErr w:type="spellStart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Українита</w:t>
            </w:r>
            <w:proofErr w:type="spellEnd"/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МВС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%</w:t>
            </w:r>
          </w:p>
        </w:tc>
      </w:tr>
    </w:tbl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 xml:space="preserve">9. Оцінка результатів реалізації </w:t>
      </w:r>
      <w:proofErr w:type="spellStart"/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регулят</w:t>
      </w:r>
      <w:proofErr w:type="spellEnd"/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орного акта та ступеня </w:t>
      </w: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br/>
        <w:t>досягнення визначених цілей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Під час проведення заходів з базового відстеження результативності </w:t>
      </w:r>
      <w:proofErr w:type="spellStart"/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регуляторного</w:t>
      </w:r>
      <w:proofErr w:type="spellEnd"/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 акта отримано звернення (об’єднання підприємств «КОМПЛЕКСНА БЕЗПЕКА»), в якому запропоновано розглянути та врахувати зауваження та пропозиції до проекту зазначеного </w:t>
      </w:r>
      <w:proofErr w:type="spellStart"/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регулято</w:t>
      </w:r>
      <w:proofErr w:type="spellEnd"/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рного акта під час повторного відстеження результативності його дії.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Звернень з приводу роз’яснення порядку застосування окремих норм </w:t>
      </w:r>
      <w:proofErr w:type="spellStart"/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регулят</w:t>
      </w:r>
      <w:proofErr w:type="spellEnd"/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орного акта за період відстеження не надходило.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Із затвердженням </w:t>
      </w:r>
      <w:proofErr w:type="spellStart"/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регуляторного акт</w:t>
      </w:r>
      <w:proofErr w:type="spellEnd"/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 вдосконалено вимоги щодо: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забезпечення захисту конституційних прав і свобод громадян;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забезпечення захисту працівників, які безпосередньо виконують охоронні функції;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визначення єдиного порядку здійснення охоронної діяльності всіма суб’єктами господарювання, які надають охоронні послуги;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>організаційних, кадрових і технологічних вимог провадження охоронної діяльності, що покращує якість надання охоронних послуг.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Відповідно до статті 10 Закону України «Про засади державної регуляторної політики у сфері господарської діяльності» при проведенні базового відстеження результативності </w:t>
      </w:r>
      <w:proofErr w:type="spellStart"/>
      <w:r w:rsidRPr="00EB41A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регуляторн</w:t>
      </w:r>
      <w:proofErr w:type="spellEnd"/>
      <w:r w:rsidRPr="00EB41A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ого акта можна зробити висновок, що вказаний регуляторний акт має достатній ступінь досягнення визначених цілей та на даний час не потребує змін чи доповнень</w:t>
      </w:r>
      <w:r w:rsidRPr="00EB41A4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EB41A4" w:rsidRPr="00EB41A4" w:rsidRDefault="00EB41A4" w:rsidP="00EB41A4">
      <w:pPr>
        <w:shd w:val="clear" w:color="auto" w:fill="F8F8F6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A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787"/>
      </w:tblGrid>
      <w:tr w:rsidR="00EB41A4" w:rsidRPr="00EB41A4" w:rsidTr="00EB41A4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Міністр</w:t>
            </w:r>
            <w:r w:rsidRPr="00EB41A4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br/>
              <w:t>внутрішніх справ України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A4" w:rsidRPr="00EB41A4" w:rsidRDefault="00EB41A4" w:rsidP="00EB41A4">
            <w:pPr>
              <w:spacing w:before="120" w:after="12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4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А.Б. Аваков</w:t>
            </w:r>
          </w:p>
        </w:tc>
      </w:tr>
    </w:tbl>
    <w:p w:rsidR="00EB41A4" w:rsidRDefault="00EB41A4"/>
    <w:p w:rsidR="00EB41A4" w:rsidRDefault="00EB41A4"/>
    <w:sectPr w:rsidR="00EB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A4"/>
    <w:rsid w:val="004666F7"/>
    <w:rsid w:val="008620A6"/>
    <w:rsid w:val="00C50042"/>
    <w:rsid w:val="00E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EB41A4"/>
  </w:style>
  <w:style w:type="character" w:customStyle="1" w:styleId="apple-converted-space">
    <w:name w:val="apple-converted-space"/>
    <w:basedOn w:val="a0"/>
    <w:rsid w:val="00EB41A4"/>
  </w:style>
  <w:style w:type="paragraph" w:styleId="2">
    <w:name w:val="Body Text 2"/>
    <w:basedOn w:val="a"/>
    <w:link w:val="20"/>
    <w:uiPriority w:val="99"/>
    <w:unhideWhenUsed/>
    <w:rsid w:val="00EB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4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EB41A4"/>
  </w:style>
  <w:style w:type="character" w:customStyle="1" w:styleId="apple-converted-space">
    <w:name w:val="apple-converted-space"/>
    <w:basedOn w:val="a0"/>
    <w:rsid w:val="00EB41A4"/>
  </w:style>
  <w:style w:type="paragraph" w:styleId="2">
    <w:name w:val="Body Text 2"/>
    <w:basedOn w:val="a"/>
    <w:link w:val="20"/>
    <w:uiPriority w:val="99"/>
    <w:unhideWhenUsed/>
    <w:rsid w:val="00EB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4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2018-02-06T14:08:00Z</dcterms:created>
  <dcterms:modified xsi:type="dcterms:W3CDTF">2018-02-06T14:24:00Z</dcterms:modified>
</cp:coreProperties>
</file>