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67A" w:rsidRPr="002B467A" w:rsidRDefault="002B467A" w:rsidP="002B467A">
      <w:pPr>
        <w:shd w:val="clear" w:color="auto" w:fill="F8F8F6"/>
        <w:spacing w:before="120" w:after="120" w:line="240" w:lineRule="auto"/>
        <w:jc w:val="center"/>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Звіт</w:t>
      </w:r>
      <w:r w:rsidRPr="002B467A">
        <w:rPr>
          <w:rFonts w:ascii="Verdana" w:eastAsia="Times New Roman" w:hAnsi="Verdana" w:cs="Times New Roman"/>
          <w:b/>
          <w:bCs/>
          <w:color w:val="000000"/>
          <w:sz w:val="21"/>
          <w:szCs w:val="21"/>
          <w:lang w:val="uk-UA" w:eastAsia="ru-RU"/>
        </w:rPr>
        <w:br/>
        <w:t>про базове відстеження результативності дії регуляторного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w:t>
      </w:r>
      <w:bookmarkStart w:id="0" w:name="_GoBack"/>
      <w:bookmarkEnd w:id="0"/>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1. Вид та назва регуляторного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xml:space="preserve">Постанова Кабінету Міністрів України від 02 грудня 2015 року № 1000 «Про затвердження Ліцензійних умов провадження господарської діяльності з виробництва та ремонту вогнепальної зброї невійськового призначення і боєприпасів до неї, холодної зброї, пневматичної зброї калібру понад 4,5 міліметра і швидкістю польоту кулі </w:t>
      </w:r>
      <w:proofErr w:type="spellStart"/>
      <w:r w:rsidRPr="002B467A">
        <w:rPr>
          <w:rFonts w:ascii="Verdana" w:eastAsia="Times New Roman" w:hAnsi="Verdana" w:cs="Times New Roman"/>
          <w:color w:val="000000"/>
          <w:sz w:val="21"/>
          <w:szCs w:val="21"/>
          <w:lang w:val="uk-UA" w:eastAsia="ru-RU"/>
        </w:rPr>
        <w:t>пон</w:t>
      </w:r>
      <w:proofErr w:type="spellEnd"/>
      <w:r w:rsidRPr="002B467A">
        <w:rPr>
          <w:rFonts w:ascii="Verdana" w:eastAsia="Times New Roman" w:hAnsi="Verdana" w:cs="Times New Roman"/>
          <w:color w:val="000000"/>
          <w:sz w:val="21"/>
          <w:szCs w:val="21"/>
          <w:lang w:val="uk-UA" w:eastAsia="ru-RU"/>
        </w:rPr>
        <w:t xml:space="preserve">ад 100 метрів на секунду, торгівлі вогнепальною зброєю невійськового призначення та боєприпасами до неї, холодною зброєю, пневматичною зброєю калібру понад 4,5 міліметра і швидкістю польоту кулі </w:t>
      </w:r>
      <w:proofErr w:type="spellStart"/>
      <w:r w:rsidRPr="002B467A">
        <w:rPr>
          <w:rFonts w:ascii="Verdana" w:eastAsia="Times New Roman" w:hAnsi="Verdana" w:cs="Times New Roman"/>
          <w:color w:val="000000"/>
          <w:sz w:val="21"/>
          <w:szCs w:val="21"/>
          <w:lang w:val="uk-UA" w:eastAsia="ru-RU"/>
        </w:rPr>
        <w:t>пон</w:t>
      </w:r>
      <w:proofErr w:type="spellEnd"/>
      <w:r w:rsidRPr="002B467A">
        <w:rPr>
          <w:rFonts w:ascii="Verdana" w:eastAsia="Times New Roman" w:hAnsi="Verdana" w:cs="Times New Roman"/>
          <w:color w:val="000000"/>
          <w:sz w:val="21"/>
          <w:szCs w:val="21"/>
          <w:lang w:val="uk-UA" w:eastAsia="ru-RU"/>
        </w:rPr>
        <w:t>ад 100 метрів на секунду; виробництва спеціальних засобів, заряджених речовинами сльозоточивої та дратівної дії, індивідуального захисту, активної оборони та їх продажу»  (далі – регуляторний акт).</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2. Назва виконавця заходів з відстеження</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Міністерство внутрішніх справ України.</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3. Цілі прийняття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xml:space="preserve">Постанова є складовою </w:t>
      </w:r>
      <w:proofErr w:type="spellStart"/>
      <w:r w:rsidRPr="002B467A">
        <w:rPr>
          <w:rFonts w:ascii="Verdana" w:eastAsia="Times New Roman" w:hAnsi="Verdana" w:cs="Times New Roman"/>
          <w:color w:val="000000"/>
          <w:sz w:val="21"/>
          <w:szCs w:val="21"/>
          <w:lang w:val="uk-UA" w:eastAsia="ru-RU"/>
        </w:rPr>
        <w:t>системи  нормативно-п</w:t>
      </w:r>
      <w:proofErr w:type="spellEnd"/>
      <w:r w:rsidRPr="002B467A">
        <w:rPr>
          <w:rFonts w:ascii="Verdana" w:eastAsia="Times New Roman" w:hAnsi="Verdana" w:cs="Times New Roman"/>
          <w:color w:val="000000"/>
          <w:sz w:val="21"/>
          <w:szCs w:val="21"/>
          <w:lang w:val="uk-UA" w:eastAsia="ru-RU"/>
        </w:rPr>
        <w:t xml:space="preserve">равового державного </w:t>
      </w:r>
      <w:proofErr w:type="spellStart"/>
      <w:r w:rsidRPr="002B467A">
        <w:rPr>
          <w:rFonts w:ascii="Verdana" w:eastAsia="Times New Roman" w:hAnsi="Verdana" w:cs="Times New Roman"/>
          <w:color w:val="000000"/>
          <w:sz w:val="21"/>
          <w:szCs w:val="21"/>
          <w:lang w:val="uk-UA" w:eastAsia="ru-RU"/>
        </w:rPr>
        <w:t>ре</w:t>
      </w:r>
      <w:proofErr w:type="spellEnd"/>
      <w:r w:rsidRPr="002B467A">
        <w:rPr>
          <w:rFonts w:ascii="Verdana" w:eastAsia="Times New Roman" w:hAnsi="Verdana" w:cs="Times New Roman"/>
          <w:color w:val="000000"/>
          <w:sz w:val="21"/>
          <w:szCs w:val="21"/>
          <w:lang w:val="uk-UA" w:eastAsia="ru-RU"/>
        </w:rPr>
        <w:t>гулювання  у сфері виробництва, ремонту, торгівлі зброєю невійськового призначення, боєприпасами до неї, холодною, пневматичною зброєю, виробництва та продажу спеціальних засобів.</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xml:space="preserve">Регуляторний акт прийнятий на виконання </w:t>
      </w:r>
      <w:proofErr w:type="spellStart"/>
      <w:r w:rsidRPr="002B467A">
        <w:rPr>
          <w:rFonts w:ascii="Verdana" w:eastAsia="Times New Roman" w:hAnsi="Verdana" w:cs="Times New Roman"/>
          <w:color w:val="000000"/>
          <w:sz w:val="21"/>
          <w:szCs w:val="21"/>
          <w:lang w:val="uk-UA" w:eastAsia="ru-RU"/>
        </w:rPr>
        <w:t>вимог   </w:t>
      </w:r>
      <w:proofErr w:type="spellEnd"/>
      <w:r w:rsidRPr="002B467A">
        <w:rPr>
          <w:rFonts w:ascii="Verdana" w:eastAsia="Times New Roman" w:hAnsi="Verdana" w:cs="Times New Roman"/>
          <w:color w:val="000000"/>
          <w:sz w:val="21"/>
          <w:szCs w:val="21"/>
          <w:lang w:val="uk-UA" w:eastAsia="ru-RU"/>
        </w:rPr>
        <w:t xml:space="preserve">Закону України «Про ліцензування видів господарської діяльності» з </w:t>
      </w:r>
      <w:proofErr w:type="spellStart"/>
      <w:r w:rsidRPr="002B467A">
        <w:rPr>
          <w:rFonts w:ascii="Verdana" w:eastAsia="Times New Roman" w:hAnsi="Verdana" w:cs="Times New Roman"/>
          <w:color w:val="000000"/>
          <w:sz w:val="21"/>
          <w:szCs w:val="21"/>
          <w:lang w:val="uk-UA" w:eastAsia="ru-RU"/>
        </w:rPr>
        <w:t>метою  встано</w:t>
      </w:r>
      <w:proofErr w:type="spellEnd"/>
      <w:r w:rsidRPr="002B467A">
        <w:rPr>
          <w:rFonts w:ascii="Verdana" w:eastAsia="Times New Roman" w:hAnsi="Verdana" w:cs="Times New Roman"/>
          <w:color w:val="000000"/>
          <w:sz w:val="21"/>
          <w:szCs w:val="21"/>
          <w:lang w:val="uk-UA" w:eastAsia="ru-RU"/>
        </w:rPr>
        <w:t xml:space="preserve">влення єдиного порядку здійснення ліцензіатами господарської діяльності, а також </w:t>
      </w:r>
      <w:proofErr w:type="spellStart"/>
      <w:r w:rsidRPr="002B467A">
        <w:rPr>
          <w:rFonts w:ascii="Verdana" w:eastAsia="Times New Roman" w:hAnsi="Verdana" w:cs="Times New Roman"/>
          <w:color w:val="000000"/>
          <w:sz w:val="21"/>
          <w:szCs w:val="21"/>
          <w:lang w:val="uk-UA" w:eastAsia="ru-RU"/>
        </w:rPr>
        <w:t>визначення </w:t>
      </w:r>
      <w:proofErr w:type="spellEnd"/>
      <w:r w:rsidRPr="002B467A">
        <w:rPr>
          <w:rFonts w:ascii="Verdana" w:eastAsia="Times New Roman" w:hAnsi="Verdana" w:cs="Times New Roman"/>
          <w:color w:val="000000"/>
          <w:sz w:val="21"/>
          <w:szCs w:val="21"/>
          <w:lang w:val="uk-UA" w:eastAsia="ru-RU"/>
        </w:rPr>
        <w:t> вичерпного переліку документів, які подаються до заяви про отримання ліцензії.</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4. Строк виконання заходів з відстеження</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З 11 січня по 11 лютого 2016 року.</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5. Тип відстеження</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Базове.</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6. Методи одержання результатів відстеження</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Методом одержання результатів відстеження є отримання статистичних даних шляхом аналізу звернень юридичних та фізичних осіб до органу ліцензування щодо надання пропозицій та зауважень до регуляторного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b/>
          <w:bCs/>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b/>
          <w:bCs/>
          <w:color w:val="000000"/>
          <w:sz w:val="21"/>
          <w:szCs w:val="21"/>
          <w:lang w:val="uk-UA" w:eastAsia="ru-RU"/>
        </w:rPr>
        <w:t>7. Дані та припущення, на основі яких відстежувалася результативність, а також способи одержання даних</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 xml:space="preserve">Відстеження результативності </w:t>
      </w:r>
      <w:proofErr w:type="spellStart"/>
      <w:r w:rsidRPr="002B467A">
        <w:rPr>
          <w:rFonts w:ascii="Verdana" w:eastAsia="Times New Roman" w:hAnsi="Verdana" w:cs="Times New Roman"/>
          <w:color w:val="000000"/>
          <w:sz w:val="21"/>
          <w:szCs w:val="21"/>
          <w:lang w:val="uk-UA" w:eastAsia="ru-RU"/>
        </w:rPr>
        <w:t>регуляторного ак</w:t>
      </w:r>
      <w:proofErr w:type="spellEnd"/>
      <w:r w:rsidRPr="002B467A">
        <w:rPr>
          <w:rFonts w:ascii="Verdana" w:eastAsia="Times New Roman" w:hAnsi="Verdana" w:cs="Times New Roman"/>
          <w:color w:val="000000"/>
          <w:sz w:val="21"/>
          <w:szCs w:val="21"/>
          <w:lang w:val="uk-UA" w:eastAsia="ru-RU"/>
        </w:rPr>
        <w:t>та проводилося відповідно до Методики відстеження результативності регуляторного акта, затвердженої постановою Кабінету Міністрів України від 11 березня 2004 року № 308, шляхом оцінки таких статистичних показників:</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lastRenderedPageBreak/>
        <w:t>кількість суб’єктів господарювання, на яких поширюється дія регуляторногоакта;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кількість пропозицій та клопотань фізичних і юридичних осіб щодо вдосконалення норм регуляторного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кількість звернень та скарг на діяльність суб’єктів господарювання, на якихпоширюється дія регуляторного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рівень поінформованості суб’єктів господарювання щодо основних положень регуляторного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Статистичні показники отримано шляхом їх надходження безпосередньо до Міністерства внутрішніх справ.</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b/>
          <w:bCs/>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b/>
          <w:bCs/>
          <w:color w:val="000000"/>
          <w:sz w:val="21"/>
          <w:szCs w:val="21"/>
          <w:lang w:val="uk-UA" w:eastAsia="ru-RU"/>
        </w:rPr>
        <w:t>8. Кількісні та якісні значення показників результативності акта</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На сьогодні на території держави налічується майже 380 ліцензіатів, які здійснюють господарську діяльність з виробництва, ремонту, торгівлі вогнепальною зброєю невійськового призначення, боєприпасами до неї, спеціальними засобами.</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xml:space="preserve">Під час проведення заходів з базового відстеження результативності </w:t>
      </w:r>
      <w:proofErr w:type="spellStart"/>
      <w:r w:rsidRPr="002B467A">
        <w:rPr>
          <w:rFonts w:ascii="Verdana" w:eastAsia="Times New Roman" w:hAnsi="Verdana" w:cs="Times New Roman"/>
          <w:color w:val="000000"/>
          <w:sz w:val="21"/>
          <w:szCs w:val="21"/>
          <w:lang w:val="uk-UA" w:eastAsia="ru-RU"/>
        </w:rPr>
        <w:t>регулят</w:t>
      </w:r>
      <w:proofErr w:type="spellEnd"/>
      <w:r w:rsidRPr="002B467A">
        <w:rPr>
          <w:rFonts w:ascii="Verdana" w:eastAsia="Times New Roman" w:hAnsi="Verdana" w:cs="Times New Roman"/>
          <w:color w:val="000000"/>
          <w:sz w:val="21"/>
          <w:szCs w:val="21"/>
          <w:lang w:val="uk-UA" w:eastAsia="ru-RU"/>
        </w:rPr>
        <w:t>орного акта не було отримано жодних зауважень і пропозицій від фізичних та юридичних осіб щодо вдосконалення норм регуляторного акта, жодного запиту з приводу роз'яснення порядку застосування його положень.</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color w:val="000000"/>
          <w:sz w:val="21"/>
          <w:szCs w:val="21"/>
          <w:lang w:val="uk-UA" w:eastAsia="ru-RU"/>
        </w:rPr>
        <w:t xml:space="preserve">Рівень поінформованості суб’єктів господарювання щодо основних положень </w:t>
      </w:r>
      <w:proofErr w:type="spellStart"/>
      <w:r w:rsidRPr="002B467A">
        <w:rPr>
          <w:rFonts w:ascii="Verdana" w:eastAsia="Times New Roman" w:hAnsi="Verdana" w:cs="Times New Roman"/>
          <w:color w:val="000000"/>
          <w:sz w:val="21"/>
          <w:szCs w:val="21"/>
          <w:lang w:val="uk-UA" w:eastAsia="ru-RU"/>
        </w:rPr>
        <w:t>регуляторног</w:t>
      </w:r>
      <w:proofErr w:type="spellEnd"/>
      <w:r w:rsidRPr="002B467A">
        <w:rPr>
          <w:rFonts w:ascii="Verdana" w:eastAsia="Times New Roman" w:hAnsi="Verdana" w:cs="Times New Roman"/>
          <w:color w:val="000000"/>
          <w:sz w:val="21"/>
          <w:szCs w:val="21"/>
          <w:lang w:val="uk-UA" w:eastAsia="ru-RU"/>
        </w:rPr>
        <w:t xml:space="preserve">о акта високий. Акт розміщено на офіційних сайтах Верховної Ради України </w:t>
      </w:r>
      <w:proofErr w:type="spellStart"/>
      <w:r w:rsidRPr="002B467A">
        <w:rPr>
          <w:rFonts w:ascii="Verdana" w:eastAsia="Times New Roman" w:hAnsi="Verdana" w:cs="Times New Roman"/>
          <w:color w:val="000000"/>
          <w:sz w:val="21"/>
          <w:szCs w:val="21"/>
          <w:lang w:val="uk-UA" w:eastAsia="ru-RU"/>
        </w:rPr>
        <w:t>та </w:t>
      </w:r>
      <w:r w:rsidRPr="002B467A">
        <w:rPr>
          <w:rFonts w:ascii="Times New Roman" w:eastAsia="Times New Roman" w:hAnsi="Times New Roman" w:cs="Times New Roman"/>
          <w:color w:val="000000"/>
          <w:sz w:val="24"/>
          <w:szCs w:val="24"/>
          <w:lang w:val="uk-UA" w:eastAsia="ru-RU"/>
        </w:rPr>
        <w:t> </w:t>
      </w:r>
      <w:proofErr w:type="spellEnd"/>
      <w:r w:rsidRPr="002B467A">
        <w:rPr>
          <w:rFonts w:ascii="Verdana" w:eastAsia="Times New Roman" w:hAnsi="Verdana" w:cs="Times New Roman"/>
          <w:color w:val="000000"/>
          <w:sz w:val="21"/>
          <w:szCs w:val="21"/>
          <w:lang w:val="uk-UA" w:eastAsia="ru-RU"/>
        </w:rPr>
        <w:t>МВС.</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b/>
          <w:bCs/>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 xml:space="preserve">9. Оцінка результатів реалізації </w:t>
      </w:r>
      <w:proofErr w:type="spellStart"/>
      <w:r w:rsidRPr="002B467A">
        <w:rPr>
          <w:rFonts w:ascii="Verdana" w:eastAsia="Times New Roman" w:hAnsi="Verdana" w:cs="Times New Roman"/>
          <w:b/>
          <w:bCs/>
          <w:color w:val="000000"/>
          <w:sz w:val="21"/>
          <w:szCs w:val="21"/>
          <w:lang w:val="uk-UA" w:eastAsia="ru-RU"/>
        </w:rPr>
        <w:t>регулят</w:t>
      </w:r>
      <w:proofErr w:type="spellEnd"/>
      <w:r w:rsidRPr="002B467A">
        <w:rPr>
          <w:rFonts w:ascii="Verdana" w:eastAsia="Times New Roman" w:hAnsi="Verdana" w:cs="Times New Roman"/>
          <w:b/>
          <w:bCs/>
          <w:color w:val="000000"/>
          <w:sz w:val="21"/>
          <w:szCs w:val="21"/>
          <w:lang w:val="uk-UA" w:eastAsia="ru-RU"/>
        </w:rPr>
        <w:t>орного акта та ступеня </w:t>
      </w:r>
      <w:r w:rsidRPr="002B467A">
        <w:rPr>
          <w:rFonts w:ascii="Verdana" w:eastAsia="Times New Roman" w:hAnsi="Verdana" w:cs="Times New Roman"/>
          <w:b/>
          <w:bCs/>
          <w:color w:val="000000"/>
          <w:sz w:val="21"/>
          <w:szCs w:val="21"/>
          <w:lang w:val="uk-UA" w:eastAsia="ru-RU"/>
        </w:rPr>
        <w:br/>
        <w:t>досягнення визначених цілей</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 xml:space="preserve">Із затвердженням </w:t>
      </w:r>
      <w:proofErr w:type="spellStart"/>
      <w:r w:rsidRPr="002B467A">
        <w:rPr>
          <w:rFonts w:ascii="Verdana" w:eastAsia="Times New Roman" w:hAnsi="Verdana" w:cs="Times New Roman"/>
          <w:color w:val="000000"/>
          <w:sz w:val="21"/>
          <w:szCs w:val="21"/>
          <w:lang w:val="uk-UA" w:eastAsia="ru-RU"/>
        </w:rPr>
        <w:t>регуляторного акт</w:t>
      </w:r>
      <w:proofErr w:type="spellEnd"/>
      <w:r w:rsidRPr="002B467A">
        <w:rPr>
          <w:rFonts w:ascii="Verdana" w:eastAsia="Times New Roman" w:hAnsi="Verdana" w:cs="Times New Roman"/>
          <w:color w:val="000000"/>
          <w:sz w:val="21"/>
          <w:szCs w:val="21"/>
          <w:lang w:val="uk-UA" w:eastAsia="ru-RU"/>
        </w:rPr>
        <w:t>а вдосконалено організаційні, кадрові та технологічні вимоги провадження господарської діяльності, визначено вичерпний перелік документів, що подаються до заяви про отримання ліцензії, а також перелік місць провадження діяльності.</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8"/>
          <w:szCs w:val="28"/>
          <w:lang w:eastAsia="ru-RU"/>
        </w:rPr>
      </w:pPr>
      <w:r w:rsidRPr="002B467A">
        <w:rPr>
          <w:rFonts w:ascii="Verdana" w:eastAsia="Times New Roman" w:hAnsi="Verdana" w:cs="Times New Roman"/>
          <w:color w:val="000000"/>
          <w:sz w:val="21"/>
          <w:szCs w:val="21"/>
          <w:lang w:val="uk-UA" w:eastAsia="ru-RU"/>
        </w:rPr>
        <w:t>Відповідно до статті 10 Закону України «Про засади державної регуляторної політики  у сфері господарської діяльності» при проведенні базового відстеження можна зробити висновок про те, що цей регуляторний акт має достатній ступінь досягнення визначених цілей та на даний час не потребує внесення змін чи доповнень.</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 </w:t>
      </w:r>
    </w:p>
    <w:p w:rsidR="002B467A" w:rsidRPr="002B467A" w:rsidRDefault="002B467A" w:rsidP="002B467A">
      <w:pPr>
        <w:shd w:val="clear" w:color="auto" w:fill="F8F8F6"/>
        <w:spacing w:before="120" w:after="120" w:line="240" w:lineRule="auto"/>
        <w:jc w:val="both"/>
        <w:rPr>
          <w:rFonts w:ascii="Times New Roman" w:eastAsia="Times New Roman" w:hAnsi="Times New Roman" w:cs="Times New Roman"/>
          <w:color w:val="000000"/>
          <w:sz w:val="24"/>
          <w:szCs w:val="24"/>
          <w:lang w:eastAsia="ru-RU"/>
        </w:rPr>
      </w:pPr>
      <w:r w:rsidRPr="002B467A">
        <w:rPr>
          <w:rFonts w:ascii="Verdana" w:eastAsia="Times New Roman" w:hAnsi="Verdana" w:cs="Times New Roman"/>
          <w:b/>
          <w:bCs/>
          <w:color w:val="000000"/>
          <w:sz w:val="21"/>
          <w:szCs w:val="21"/>
          <w:lang w:val="uk-UA" w:eastAsia="ru-RU"/>
        </w:rPr>
        <w:t> </w:t>
      </w:r>
    </w:p>
    <w:tbl>
      <w:tblPr>
        <w:tblW w:w="0" w:type="auto"/>
        <w:tblCellMar>
          <w:left w:w="0" w:type="dxa"/>
          <w:right w:w="0" w:type="dxa"/>
        </w:tblCellMar>
        <w:tblLook w:val="04A0" w:firstRow="1" w:lastRow="0" w:firstColumn="1" w:lastColumn="0" w:noHBand="0" w:noVBand="1"/>
      </w:tblPr>
      <w:tblGrid>
        <w:gridCol w:w="4784"/>
        <w:gridCol w:w="4787"/>
      </w:tblGrid>
      <w:tr w:rsidR="002B467A" w:rsidRPr="002B467A" w:rsidTr="002B467A">
        <w:tc>
          <w:tcPr>
            <w:tcW w:w="4927" w:type="dxa"/>
            <w:tcMar>
              <w:top w:w="0" w:type="dxa"/>
              <w:left w:w="108" w:type="dxa"/>
              <w:bottom w:w="0" w:type="dxa"/>
              <w:right w:w="108" w:type="dxa"/>
            </w:tcMar>
            <w:hideMark/>
          </w:tcPr>
          <w:p w:rsidR="002B467A" w:rsidRPr="002B467A" w:rsidRDefault="002B467A" w:rsidP="002B467A">
            <w:pPr>
              <w:spacing w:before="120" w:after="120" w:line="240" w:lineRule="auto"/>
              <w:ind w:right="-1"/>
              <w:jc w:val="both"/>
              <w:rPr>
                <w:rFonts w:ascii="Times New Roman" w:eastAsia="Times New Roman" w:hAnsi="Times New Roman" w:cs="Times New Roman"/>
                <w:sz w:val="24"/>
                <w:szCs w:val="24"/>
                <w:lang w:eastAsia="ru-RU"/>
              </w:rPr>
            </w:pPr>
            <w:r w:rsidRPr="002B467A">
              <w:rPr>
                <w:rFonts w:ascii="Verdana" w:eastAsia="Times New Roman" w:hAnsi="Verdana" w:cs="Times New Roman"/>
                <w:b/>
                <w:bCs/>
                <w:sz w:val="21"/>
                <w:szCs w:val="21"/>
                <w:lang w:val="uk-UA" w:eastAsia="ru-RU"/>
              </w:rPr>
              <w:t>Міністр</w:t>
            </w:r>
            <w:r w:rsidRPr="002B467A">
              <w:rPr>
                <w:rFonts w:ascii="Verdana" w:eastAsia="Times New Roman" w:hAnsi="Verdana" w:cs="Times New Roman"/>
                <w:b/>
                <w:bCs/>
                <w:sz w:val="21"/>
                <w:szCs w:val="21"/>
                <w:lang w:val="uk-UA" w:eastAsia="ru-RU"/>
              </w:rPr>
              <w:br/>
              <w:t>внутрішніх справ України</w:t>
            </w:r>
          </w:p>
        </w:tc>
        <w:tc>
          <w:tcPr>
            <w:tcW w:w="4927" w:type="dxa"/>
            <w:tcMar>
              <w:top w:w="0" w:type="dxa"/>
              <w:left w:w="108" w:type="dxa"/>
              <w:bottom w:w="0" w:type="dxa"/>
              <w:right w:w="108" w:type="dxa"/>
            </w:tcMar>
            <w:hideMark/>
          </w:tcPr>
          <w:p w:rsidR="002B467A" w:rsidRPr="002B467A" w:rsidRDefault="002B467A" w:rsidP="002B467A">
            <w:pPr>
              <w:spacing w:before="120" w:after="120" w:line="240" w:lineRule="auto"/>
              <w:ind w:right="-1"/>
              <w:jc w:val="right"/>
              <w:rPr>
                <w:rFonts w:ascii="Times New Roman" w:eastAsia="Times New Roman" w:hAnsi="Times New Roman" w:cs="Times New Roman"/>
                <w:sz w:val="24"/>
                <w:szCs w:val="24"/>
                <w:lang w:eastAsia="ru-RU"/>
              </w:rPr>
            </w:pPr>
            <w:r w:rsidRPr="002B467A">
              <w:rPr>
                <w:rFonts w:ascii="Verdana" w:eastAsia="Times New Roman" w:hAnsi="Verdana" w:cs="Times New Roman"/>
                <w:b/>
                <w:bCs/>
                <w:sz w:val="21"/>
                <w:szCs w:val="21"/>
                <w:lang w:val="uk-UA" w:eastAsia="ru-RU"/>
              </w:rPr>
              <w:t>А.Б. Аваков</w:t>
            </w:r>
          </w:p>
        </w:tc>
      </w:tr>
    </w:tbl>
    <w:p w:rsidR="002B467A" w:rsidRDefault="002B467A"/>
    <w:p w:rsidR="002B467A" w:rsidRDefault="002B467A"/>
    <w:sectPr w:rsidR="002B4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67A"/>
    <w:rsid w:val="002B467A"/>
    <w:rsid w:val="004666F7"/>
    <w:rsid w:val="008620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2B467A"/>
  </w:style>
  <w:style w:type="character" w:customStyle="1" w:styleId="rvts23">
    <w:name w:val="rvts23"/>
    <w:basedOn w:val="a0"/>
    <w:rsid w:val="002B467A"/>
  </w:style>
  <w:style w:type="paragraph" w:styleId="2">
    <w:name w:val="Body Text 2"/>
    <w:basedOn w:val="a"/>
    <w:link w:val="20"/>
    <w:uiPriority w:val="99"/>
    <w:semiHidden/>
    <w:unhideWhenUsed/>
    <w:rsid w:val="002B4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2B467A"/>
    <w:rPr>
      <w:rFonts w:ascii="Times New Roman" w:eastAsia="Times New Roman" w:hAnsi="Times New Roman" w:cs="Times New Roman"/>
      <w:sz w:val="24"/>
      <w:szCs w:val="24"/>
      <w:lang w:eastAsia="ru-RU"/>
    </w:rPr>
  </w:style>
  <w:style w:type="paragraph" w:styleId="a3">
    <w:name w:val="Normal (Web)"/>
    <w:basedOn w:val="a"/>
    <w:uiPriority w:val="99"/>
    <w:unhideWhenUsed/>
    <w:rsid w:val="002B46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2B467A"/>
  </w:style>
  <w:style w:type="character" w:customStyle="1" w:styleId="rvts23">
    <w:name w:val="rvts23"/>
    <w:basedOn w:val="a0"/>
    <w:rsid w:val="002B467A"/>
  </w:style>
  <w:style w:type="paragraph" w:styleId="2">
    <w:name w:val="Body Text 2"/>
    <w:basedOn w:val="a"/>
    <w:link w:val="20"/>
    <w:uiPriority w:val="99"/>
    <w:semiHidden/>
    <w:unhideWhenUsed/>
    <w:rsid w:val="002B46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2 Знак"/>
    <w:basedOn w:val="a0"/>
    <w:link w:val="2"/>
    <w:uiPriority w:val="99"/>
    <w:semiHidden/>
    <w:rsid w:val="002B467A"/>
    <w:rPr>
      <w:rFonts w:ascii="Times New Roman" w:eastAsia="Times New Roman" w:hAnsi="Times New Roman" w:cs="Times New Roman"/>
      <w:sz w:val="24"/>
      <w:szCs w:val="24"/>
      <w:lang w:eastAsia="ru-RU"/>
    </w:rPr>
  </w:style>
  <w:style w:type="paragraph" w:styleId="a3">
    <w:name w:val="Normal (Web)"/>
    <w:basedOn w:val="a"/>
    <w:uiPriority w:val="99"/>
    <w:unhideWhenUsed/>
    <w:rsid w:val="002B46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3631094">
      <w:bodyDiv w:val="1"/>
      <w:marLeft w:val="0"/>
      <w:marRight w:val="0"/>
      <w:marTop w:val="0"/>
      <w:marBottom w:val="0"/>
      <w:divBdr>
        <w:top w:val="none" w:sz="0" w:space="0" w:color="auto"/>
        <w:left w:val="none" w:sz="0" w:space="0" w:color="auto"/>
        <w:bottom w:val="none" w:sz="0" w:space="0" w:color="auto"/>
        <w:right w:val="none" w:sz="0" w:space="0" w:color="auto"/>
      </w:divBdr>
      <w:divsChild>
        <w:div w:id="304051534">
          <w:marLeft w:val="0"/>
          <w:marRight w:val="0"/>
          <w:marTop w:val="0"/>
          <w:marBottom w:val="0"/>
          <w:divBdr>
            <w:top w:val="none" w:sz="0" w:space="0" w:color="auto"/>
            <w:left w:val="none" w:sz="0" w:space="0" w:color="auto"/>
            <w:bottom w:val="none" w:sz="0" w:space="0" w:color="auto"/>
            <w:right w:val="none" w:sz="0" w:space="0" w:color="auto"/>
          </w:divBdr>
          <w:divsChild>
            <w:div w:id="162754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620</Words>
  <Characters>3539</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2018-02-06T13:31:00Z</dcterms:created>
  <dcterms:modified xsi:type="dcterms:W3CDTF">2018-02-06T13:40:00Z</dcterms:modified>
</cp:coreProperties>
</file>