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6AC" w:rsidRPr="004856AC" w:rsidRDefault="004856AC" w:rsidP="004856A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ПОВІДОМЛЕННЯ</w:t>
      </w:r>
    </w:p>
    <w:p w:rsidR="004856AC" w:rsidRPr="004856AC" w:rsidRDefault="004856AC" w:rsidP="004856A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про оприлюднення проекту наказу Міністерства внутрішніх справ України «Про затвердження Вимог до об'єктів і приміщень, призначених для здійснення діяльності з обігу наркотичних   засобів, психотропних речовин, прекурсорів та зберігання вилучених з </w:t>
      </w:r>
      <w:r w:rsidRPr="004856AC">
        <w:rPr>
          <w:rFonts w:ascii="Verdana" w:eastAsia="Times New Roman" w:hAnsi="Verdana" w:cs="Times New Roman"/>
          <w:b/>
          <w:bCs/>
          <w:color w:val="000000"/>
          <w:sz w:val="21"/>
          <w:lang w:eastAsia="ru-RU"/>
        </w:rPr>
        <w:t>незаконного</w:t>
      </w:r>
      <w:r w:rsidRPr="004856AC">
        <w:rPr>
          <w:rFonts w:ascii="Verdana" w:eastAsia="Times New Roman" w:hAnsi="Verdana" w:cs="Times New Roman"/>
          <w:b/>
          <w:bCs/>
          <w:color w:val="000000"/>
          <w:sz w:val="21"/>
          <w:szCs w:val="21"/>
          <w:lang w:eastAsia="ru-RU"/>
        </w:rPr>
        <w:t> обігу</w:t>
      </w:r>
    </w:p>
    <w:p w:rsidR="004856AC" w:rsidRPr="004856AC" w:rsidRDefault="004856AC" w:rsidP="004856A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таких засобів і речовин»</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Проект наказу Міністерства внутрішніх справ України «Про затвердження Вимог до об'єктів і приміщень, призначених для здійснення діяльності з обігу наркотичних   засобів, психотропних речовин, прекурсорів та зберігання вилучених з незаконного обігу таких засобів і речовин» розроблено відповідно до Законів України «Про наркотичні засоби</w:t>
      </w:r>
      <w:r w:rsidRPr="004856AC">
        <w:rPr>
          <w:rFonts w:ascii="Verdana" w:eastAsia="Times New Roman" w:hAnsi="Verdana" w:cs="Times New Roman"/>
          <w:color w:val="000000"/>
          <w:sz w:val="21"/>
          <w:szCs w:val="21"/>
          <w:lang w:eastAsia="ru-RU"/>
        </w:rPr>
        <w:t>, психотропні речовини і прекурсори» та «Про Національну поліцію».</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tbl>
      <w:tblPr>
        <w:tblW w:w="0" w:type="auto"/>
        <w:jc w:val="center"/>
        <w:tblCellMar>
          <w:left w:w="0" w:type="dxa"/>
          <w:right w:w="0" w:type="dxa"/>
        </w:tblCellMar>
        <w:tblLook w:val="04A0"/>
      </w:tblPr>
      <w:tblGrid>
        <w:gridCol w:w="3987"/>
        <w:gridCol w:w="4111"/>
      </w:tblGrid>
      <w:tr w:rsidR="004856AC" w:rsidRPr="004856AC" w:rsidTr="004856AC">
        <w:trPr>
          <w:jc w:val="center"/>
        </w:trPr>
        <w:tc>
          <w:tcPr>
            <w:tcW w:w="39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56AC" w:rsidRPr="004856AC" w:rsidRDefault="004856AC" w:rsidP="004856AC">
            <w:pPr>
              <w:spacing w:after="0" w:line="240" w:lineRule="auto"/>
              <w:rPr>
                <w:rFonts w:ascii="Times New Roman" w:eastAsia="Times New Roman" w:hAnsi="Times New Roman" w:cs="Times New Roman"/>
                <w:sz w:val="24"/>
                <w:szCs w:val="24"/>
                <w:lang w:eastAsia="ru-RU"/>
              </w:rPr>
            </w:pPr>
            <w:r w:rsidRPr="004856AC">
              <w:rPr>
                <w:rFonts w:ascii="Verdana" w:eastAsia="Times New Roman" w:hAnsi="Verdana" w:cs="Times New Roman"/>
                <w:sz w:val="21"/>
                <w:szCs w:val="21"/>
                <w:lang w:eastAsia="ru-RU"/>
              </w:rPr>
              <w:t>Назва органу виконавчої влади, який розробив регуляторний акт</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6AC" w:rsidRPr="004856AC" w:rsidRDefault="004856AC" w:rsidP="004856AC">
            <w:pPr>
              <w:spacing w:after="0" w:line="240" w:lineRule="auto"/>
              <w:rPr>
                <w:rFonts w:ascii="Times New Roman" w:eastAsia="Times New Roman" w:hAnsi="Times New Roman" w:cs="Times New Roman"/>
                <w:sz w:val="24"/>
                <w:szCs w:val="24"/>
                <w:lang w:eastAsia="ru-RU"/>
              </w:rPr>
            </w:pPr>
            <w:r w:rsidRPr="004856AC">
              <w:rPr>
                <w:rFonts w:ascii="Verdana" w:eastAsia="Times New Roman" w:hAnsi="Verdana" w:cs="Times New Roman"/>
                <w:sz w:val="21"/>
                <w:szCs w:val="21"/>
                <w:lang w:eastAsia="ru-RU"/>
              </w:rPr>
              <w:t>Назва структурного </w:t>
            </w:r>
            <w:r w:rsidRPr="004856AC">
              <w:rPr>
                <w:rFonts w:ascii="Verdana" w:eastAsia="Times New Roman" w:hAnsi="Verdana" w:cs="Times New Roman"/>
                <w:sz w:val="21"/>
                <w:lang w:eastAsia="ru-RU"/>
              </w:rPr>
              <w:t>п</w:t>
            </w:r>
            <w:r w:rsidRPr="004856AC">
              <w:rPr>
                <w:rFonts w:ascii="Verdana" w:eastAsia="Times New Roman" w:hAnsi="Verdana" w:cs="Times New Roman"/>
                <w:sz w:val="21"/>
                <w:szCs w:val="21"/>
                <w:lang w:eastAsia="ru-RU"/>
              </w:rPr>
              <w:t>ідрозділу, який розробляв регуляторний акт, його адреса та телефони</w:t>
            </w:r>
          </w:p>
        </w:tc>
      </w:tr>
      <w:tr w:rsidR="004856AC" w:rsidRPr="004856AC" w:rsidTr="004856AC">
        <w:trPr>
          <w:jc w:val="center"/>
        </w:trPr>
        <w:tc>
          <w:tcPr>
            <w:tcW w:w="3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6AC" w:rsidRPr="004856AC" w:rsidRDefault="004856AC" w:rsidP="004856AC">
            <w:pPr>
              <w:spacing w:after="0" w:line="240" w:lineRule="auto"/>
              <w:rPr>
                <w:rFonts w:ascii="Times New Roman" w:eastAsia="Times New Roman" w:hAnsi="Times New Roman" w:cs="Times New Roman"/>
                <w:sz w:val="24"/>
                <w:szCs w:val="24"/>
                <w:lang w:eastAsia="ru-RU"/>
              </w:rPr>
            </w:pPr>
            <w:r w:rsidRPr="004856AC">
              <w:rPr>
                <w:rFonts w:ascii="Verdana" w:eastAsia="Times New Roman" w:hAnsi="Verdana" w:cs="Times New Roman"/>
                <w:sz w:val="21"/>
                <w:szCs w:val="21"/>
                <w:lang w:eastAsia="ru-RU"/>
              </w:rPr>
              <w:t>Національна поліція України</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4856AC" w:rsidRPr="004856AC" w:rsidRDefault="004856AC" w:rsidP="004856AC">
            <w:pPr>
              <w:spacing w:after="0" w:line="240" w:lineRule="auto"/>
              <w:rPr>
                <w:rFonts w:ascii="Times New Roman" w:eastAsia="Times New Roman" w:hAnsi="Times New Roman" w:cs="Times New Roman"/>
                <w:sz w:val="24"/>
                <w:szCs w:val="24"/>
                <w:lang w:eastAsia="ru-RU"/>
              </w:rPr>
            </w:pPr>
            <w:r w:rsidRPr="004856AC">
              <w:rPr>
                <w:rFonts w:ascii="Verdana" w:eastAsia="Times New Roman" w:hAnsi="Verdana" w:cs="Times New Roman"/>
                <w:sz w:val="21"/>
                <w:szCs w:val="21"/>
                <w:lang w:eastAsia="ru-RU"/>
              </w:rPr>
              <w:t>Департамент протидії наркозлочинності Національної поліції України, 01601, м. Київ,                                 вул. А. Богомольця, 10,</w:t>
            </w:r>
          </w:p>
          <w:p w:rsidR="004856AC" w:rsidRPr="004856AC" w:rsidRDefault="004856AC" w:rsidP="004856AC">
            <w:pPr>
              <w:spacing w:after="0" w:line="240" w:lineRule="auto"/>
              <w:rPr>
                <w:rFonts w:ascii="Times New Roman" w:eastAsia="Times New Roman" w:hAnsi="Times New Roman" w:cs="Times New Roman"/>
                <w:sz w:val="24"/>
                <w:szCs w:val="24"/>
                <w:lang w:eastAsia="ru-RU"/>
              </w:rPr>
            </w:pPr>
            <w:r w:rsidRPr="004856AC">
              <w:rPr>
                <w:rFonts w:ascii="Verdana" w:eastAsia="Times New Roman" w:hAnsi="Verdana" w:cs="Times New Roman"/>
                <w:sz w:val="21"/>
                <w:szCs w:val="21"/>
                <w:lang w:eastAsia="ru-RU"/>
              </w:rPr>
              <w:t>(044) 254-93-26, http://www.npu.gov.ua/</w:t>
            </w:r>
          </w:p>
        </w:tc>
      </w:tr>
    </w:tbl>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Проект наказу та пояснювальну записку оприлюднено на web-сайті </w:t>
      </w:r>
      <w:hyperlink r:id="rId4" w:history="1">
        <w:r w:rsidRPr="004856AC">
          <w:rPr>
            <w:rFonts w:ascii="Verdana" w:eastAsia="Times New Roman" w:hAnsi="Verdana" w:cs="Times New Roman"/>
            <w:color w:val="000000"/>
            <w:sz w:val="21"/>
            <w:lang w:eastAsia="ru-RU"/>
          </w:rPr>
          <w:t>http://www.npu.gov.ua/</w:t>
        </w:r>
      </w:hyperlink>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Зауваження та пропозиції до проекту від фізичних та юридичних осіб приймаються до 20 грудня 2016 року на адресу Національної поліції України або на електронну адресу: </w:t>
      </w:r>
      <w:hyperlink r:id="rId5" w:history="1">
        <w:r w:rsidRPr="004856AC">
          <w:rPr>
            <w:rFonts w:ascii="Verdana" w:eastAsia="Times New Roman" w:hAnsi="Verdana" w:cs="Times New Roman"/>
            <w:color w:val="000000"/>
            <w:sz w:val="21"/>
            <w:lang w:eastAsia="ru-RU"/>
          </w:rPr>
          <w:t>legal@antidrug.gov.ua</w:t>
        </w:r>
      </w:hyperlink>
      <w:r w:rsidRPr="004856AC">
        <w:rPr>
          <w:rFonts w:ascii="Verdana" w:eastAsia="Times New Roman" w:hAnsi="Verdana" w:cs="Times New Roman"/>
          <w:color w:val="000000"/>
          <w:sz w:val="21"/>
          <w:szCs w:val="21"/>
          <w:lang w:eastAsia="ru-RU"/>
        </w:rPr>
        <w:t>, а також на адресу</w:t>
      </w:r>
      <w:r w:rsidRPr="004856AC">
        <w:rPr>
          <w:rFonts w:ascii="Verdana" w:eastAsia="Times New Roman" w:hAnsi="Verdana" w:cs="Times New Roman"/>
          <w:color w:val="000000"/>
          <w:sz w:val="21"/>
          <w:lang w:eastAsia="ru-RU"/>
        </w:rPr>
        <w:t>Д</w:t>
      </w:r>
      <w:r w:rsidRPr="004856AC">
        <w:rPr>
          <w:rFonts w:ascii="Verdana" w:eastAsia="Times New Roman" w:hAnsi="Verdana" w:cs="Times New Roman"/>
          <w:color w:val="000000"/>
          <w:sz w:val="21"/>
          <w:szCs w:val="21"/>
          <w:lang w:eastAsia="ru-RU"/>
        </w:rPr>
        <w:t>ержавної регуляторної служби України: 01011, м. Київ, вул. Арсенальна, 9/11, mail@dkrp.gov.ua.</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Начальник        Департаменту</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протидії      наркозлочинності</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Національної поліції України                               А.О. Кіхтенко</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МІНІСТЕРСТВО ВНУТРІШНІХ СПРАВ УКРАЇНИ</w:t>
      </w:r>
    </w:p>
    <w:p w:rsidR="004856AC" w:rsidRPr="004856AC" w:rsidRDefault="004856AC" w:rsidP="004856A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НАКАЗ</w:t>
      </w:r>
    </w:p>
    <w:p w:rsidR="004856AC" w:rsidRPr="004856AC" w:rsidRDefault="004856AC" w:rsidP="004856A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 </w:t>
      </w:r>
    </w:p>
    <w:p w:rsidR="004856AC" w:rsidRPr="004856AC" w:rsidRDefault="004856AC" w:rsidP="004856A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 </w:t>
      </w:r>
    </w:p>
    <w:p w:rsidR="004856AC" w:rsidRPr="004856AC" w:rsidRDefault="004856AC" w:rsidP="004856A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2016                   м. Киї</w:t>
      </w:r>
      <w:r w:rsidRPr="004856AC">
        <w:rPr>
          <w:rFonts w:ascii="Verdana" w:eastAsia="Times New Roman" w:hAnsi="Verdana" w:cs="Times New Roman"/>
          <w:b/>
          <w:bCs/>
          <w:color w:val="000000"/>
          <w:sz w:val="21"/>
          <w:lang w:eastAsia="ru-RU"/>
        </w:rPr>
        <w:t>в</w:t>
      </w:r>
      <w:r w:rsidRPr="004856AC">
        <w:rPr>
          <w:rFonts w:ascii="Verdana" w:eastAsia="Times New Roman" w:hAnsi="Verdana" w:cs="Times New Roman"/>
          <w:b/>
          <w:bCs/>
          <w:color w:val="000000"/>
          <w:sz w:val="21"/>
          <w:szCs w:val="21"/>
          <w:lang w:eastAsia="ru-RU"/>
        </w:rPr>
        <w:t>             №________</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Про затвердження Вимог до об'єктів і приміщень, призначених для здійснення діяльності з обігу наркотичних засобів, психотропних речовин, прекурсорів та зберігання вилучених з </w:t>
      </w:r>
      <w:r w:rsidRPr="004856AC">
        <w:rPr>
          <w:rFonts w:ascii="Verdana" w:eastAsia="Times New Roman" w:hAnsi="Verdana" w:cs="Times New Roman"/>
          <w:color w:val="000000"/>
          <w:sz w:val="21"/>
          <w:lang w:eastAsia="ru-RU"/>
        </w:rPr>
        <w:t>незаконного</w:t>
      </w:r>
      <w:r w:rsidRPr="004856AC">
        <w:rPr>
          <w:rFonts w:ascii="Verdana" w:eastAsia="Times New Roman" w:hAnsi="Verdana" w:cs="Times New Roman"/>
          <w:color w:val="000000"/>
          <w:sz w:val="21"/>
          <w:szCs w:val="21"/>
          <w:lang w:eastAsia="ru-RU"/>
        </w:rPr>
        <w:t> обігу таких засобів і речовин</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lastRenderedPageBreak/>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Відповідно до Законів України «Про наркотичні засоби, психотропні речовини і прекурсори», «Про Національну поліцію» та з метою вдосконалення механізму видачі Національною поліцією України дозволу на використання об'єктів і приміщень, призначених для здійснення діяльності з обігу наркотичних засобів, психотропних речовин і прекурсорів, з метою</w:t>
      </w:r>
      <w:r w:rsidRPr="004856AC">
        <w:rPr>
          <w:rFonts w:ascii="Verdana" w:eastAsia="Times New Roman" w:hAnsi="Verdana" w:cs="Times New Roman"/>
          <w:color w:val="000000"/>
          <w:sz w:val="21"/>
          <w:szCs w:val="21"/>
          <w:lang w:eastAsia="ru-RU"/>
        </w:rPr>
        <w:t>приведення нормативно-правових актів МВС, які регулюють діяльність Національної поліції України, </w:t>
      </w:r>
      <w:r w:rsidRPr="004856AC">
        <w:rPr>
          <w:rFonts w:ascii="Verdana" w:eastAsia="Times New Roman" w:hAnsi="Verdana" w:cs="Times New Roman"/>
          <w:color w:val="000000"/>
          <w:sz w:val="21"/>
          <w:lang w:eastAsia="ru-RU"/>
        </w:rPr>
        <w:t>у</w:t>
      </w:r>
      <w:r w:rsidRPr="004856AC">
        <w:rPr>
          <w:rFonts w:ascii="Verdana" w:eastAsia="Times New Roman" w:hAnsi="Verdana" w:cs="Times New Roman"/>
          <w:color w:val="000000"/>
          <w:sz w:val="21"/>
          <w:szCs w:val="21"/>
          <w:lang w:eastAsia="ru-RU"/>
        </w:rPr>
        <w:t> відповідність до законодавства</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НАКАЗУЮ:</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1. Затвердити Вимоги до об'єктів і приміщень, призначених для здійснення діяльності з обігу  наркотичних засобів, психотропних речовин, прекурсорів та зберігання вилучених з </w:t>
      </w:r>
      <w:r w:rsidRPr="004856AC">
        <w:rPr>
          <w:rFonts w:ascii="Verdana" w:eastAsia="Times New Roman" w:hAnsi="Verdana" w:cs="Times New Roman"/>
          <w:color w:val="000000"/>
          <w:sz w:val="21"/>
          <w:lang w:eastAsia="ru-RU"/>
        </w:rPr>
        <w:t>незаконного</w:t>
      </w:r>
      <w:r w:rsidRPr="004856AC">
        <w:rPr>
          <w:rFonts w:ascii="Verdana" w:eastAsia="Times New Roman" w:hAnsi="Verdana" w:cs="Times New Roman"/>
          <w:color w:val="000000"/>
          <w:sz w:val="21"/>
          <w:szCs w:val="21"/>
          <w:lang w:eastAsia="ru-RU"/>
        </w:rPr>
        <w:t> обігу таких засобів і речовин, що додаються.</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2.  </w:t>
      </w:r>
      <w:r w:rsidRPr="004856AC">
        <w:rPr>
          <w:rFonts w:ascii="Verdana" w:eastAsia="Times New Roman" w:hAnsi="Verdana" w:cs="Times New Roman"/>
          <w:color w:val="000000"/>
          <w:sz w:val="21"/>
          <w:lang w:eastAsia="ru-RU"/>
        </w:rPr>
        <w:t>Визнати таким, що втратив чинність, наказ Міністерства внутрішніх справ України від 15 травня 2009 року № 216 «Про затвердження Вимог до об'єктів і приміщень, призначених для здійснення діяльності з обігу наркотичних засобів, психотропних речовин, прекурсорів та зберігання вилучених з незаконного обігу таких засобів і речовин</w:t>
      </w:r>
      <w:r w:rsidRPr="004856AC">
        <w:rPr>
          <w:rFonts w:ascii="Verdana" w:eastAsia="Times New Roman" w:hAnsi="Verdana" w:cs="Times New Roman"/>
          <w:color w:val="000000"/>
          <w:sz w:val="21"/>
          <w:szCs w:val="21"/>
          <w:lang w:eastAsia="ru-RU"/>
        </w:rPr>
        <w:t>», зареєстрований у Міністерстві юстиції України  12 серпня 2009 року за № 759/16775 (із змінами).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3.  Департаменту формування політики щодо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ідконтрольних Міністрові органів влади та моніторингу МВС (Боднар В.Є.) забезпечити подання цього наказу на державну реєстрацію до Міністерства юстиції України в установленому порядку.</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4.  Цей наказ набирає чинності з дня його офіційного опублікування.</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5. Контроль за виконанням цього наказу покласти на Голову Національної поліції України Деканоідзе Х.</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Міні</w:t>
      </w:r>
      <w:r w:rsidRPr="004856AC">
        <w:rPr>
          <w:rFonts w:ascii="Verdana" w:eastAsia="Times New Roman" w:hAnsi="Verdana" w:cs="Times New Roman"/>
          <w:b/>
          <w:bCs/>
          <w:color w:val="000000"/>
          <w:sz w:val="21"/>
          <w:lang w:eastAsia="ru-RU"/>
        </w:rPr>
        <w:t>стр</w:t>
      </w:r>
      <w:r w:rsidRPr="004856AC">
        <w:rPr>
          <w:rFonts w:ascii="Verdana" w:eastAsia="Times New Roman" w:hAnsi="Verdana" w:cs="Times New Roman"/>
          <w:b/>
          <w:bCs/>
          <w:color w:val="000000"/>
          <w:sz w:val="21"/>
          <w:szCs w:val="21"/>
          <w:lang w:eastAsia="ru-RU"/>
        </w:rPr>
        <w:t>                              А.Б. Аваков</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ЗАТВЕРДЖЕНО</w:t>
      </w:r>
    </w:p>
    <w:p w:rsidR="004856AC" w:rsidRPr="004856AC" w:rsidRDefault="004856AC" w:rsidP="004856A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наказ Міністерства внутріщніх   справ   України</w:t>
      </w:r>
    </w:p>
    <w:p w:rsidR="004856AC" w:rsidRPr="004856AC" w:rsidRDefault="004856AC" w:rsidP="004856A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від ______ 2016 року № ____</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ВИМОГИ</w:t>
      </w:r>
    </w:p>
    <w:p w:rsidR="004856AC" w:rsidRPr="004856AC" w:rsidRDefault="004856AC" w:rsidP="004856A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до об'єкті</w:t>
      </w:r>
      <w:r w:rsidRPr="004856AC">
        <w:rPr>
          <w:rFonts w:ascii="Verdana" w:eastAsia="Times New Roman" w:hAnsi="Verdana" w:cs="Times New Roman"/>
          <w:b/>
          <w:bCs/>
          <w:color w:val="000000"/>
          <w:sz w:val="21"/>
          <w:lang w:eastAsia="ru-RU"/>
        </w:rPr>
        <w:t>в</w:t>
      </w:r>
      <w:r w:rsidRPr="004856AC">
        <w:rPr>
          <w:rFonts w:ascii="Verdana" w:eastAsia="Times New Roman" w:hAnsi="Verdana" w:cs="Times New Roman"/>
          <w:b/>
          <w:bCs/>
          <w:color w:val="000000"/>
          <w:sz w:val="21"/>
          <w:szCs w:val="21"/>
          <w:lang w:eastAsia="ru-RU"/>
        </w:rPr>
        <w:t> і приміщень, призначених для здійснення діяльності з обігу</w:t>
      </w:r>
    </w:p>
    <w:p w:rsidR="004856AC" w:rsidRPr="004856AC" w:rsidRDefault="004856AC" w:rsidP="004856A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наркотичних засобів, психотропних речовин, прекурсорів та зберігання вилучених з </w:t>
      </w:r>
      <w:r w:rsidRPr="004856AC">
        <w:rPr>
          <w:rFonts w:ascii="Verdana" w:eastAsia="Times New Roman" w:hAnsi="Verdana" w:cs="Times New Roman"/>
          <w:b/>
          <w:bCs/>
          <w:color w:val="000000"/>
          <w:sz w:val="21"/>
          <w:lang w:eastAsia="ru-RU"/>
        </w:rPr>
        <w:t>незаконного</w:t>
      </w:r>
      <w:r w:rsidRPr="004856AC">
        <w:rPr>
          <w:rFonts w:ascii="Verdana" w:eastAsia="Times New Roman" w:hAnsi="Verdana" w:cs="Times New Roman"/>
          <w:b/>
          <w:bCs/>
          <w:color w:val="000000"/>
          <w:sz w:val="21"/>
          <w:szCs w:val="21"/>
          <w:lang w:eastAsia="ru-RU"/>
        </w:rPr>
        <w:t> обігу таких засобів і речовин</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I. Загальні положення</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1. </w:t>
      </w:r>
      <w:r w:rsidRPr="004856AC">
        <w:rPr>
          <w:rFonts w:ascii="Verdana" w:eastAsia="Times New Roman" w:hAnsi="Verdana" w:cs="Times New Roman"/>
          <w:color w:val="000000"/>
          <w:sz w:val="21"/>
          <w:lang w:eastAsia="ru-RU"/>
        </w:rPr>
        <w:t>Ц</w:t>
      </w:r>
      <w:r w:rsidRPr="004856AC">
        <w:rPr>
          <w:rFonts w:ascii="Verdana" w:eastAsia="Times New Roman" w:hAnsi="Verdana" w:cs="Times New Roman"/>
          <w:color w:val="000000"/>
          <w:sz w:val="21"/>
          <w:szCs w:val="21"/>
          <w:lang w:eastAsia="ru-RU"/>
        </w:rPr>
        <w:t>і Вимоги визначають заходи, що вживаються суб'єктами господарювання, Службою безпеки України, Національною поліцією України і Державною фіскальною службою України з технічного укріплення та охорони місць концентрації наркотичних засобів, психотропних речовин і прекурсорів (далі - місця концентрації), призначених для здійснення діяльності з культивування рослин, уключених до таблиці I Переліку наркотичних засобів, психотропних речовин і прекурсорів, затвердженого постановою Кабінету Міні</w:t>
      </w:r>
      <w:r w:rsidRPr="004856AC">
        <w:rPr>
          <w:rFonts w:ascii="Verdana" w:eastAsia="Times New Roman" w:hAnsi="Verdana" w:cs="Times New Roman"/>
          <w:color w:val="000000"/>
          <w:sz w:val="21"/>
          <w:lang w:eastAsia="ru-RU"/>
        </w:rPr>
        <w:t>стр</w:t>
      </w:r>
      <w:r w:rsidRPr="004856AC">
        <w:rPr>
          <w:rFonts w:ascii="Verdana" w:eastAsia="Times New Roman" w:hAnsi="Verdana" w:cs="Times New Roman"/>
          <w:color w:val="000000"/>
          <w:sz w:val="21"/>
          <w:szCs w:val="21"/>
          <w:lang w:eastAsia="ru-RU"/>
        </w:rPr>
        <w:t xml:space="preserve">ів України від 6 травня 2000 року № 770 (далі - Перелік) розроблення, виробництва, виготовлення, </w:t>
      </w:r>
      <w:r w:rsidRPr="004856AC">
        <w:rPr>
          <w:rFonts w:ascii="Verdana" w:eastAsia="Times New Roman" w:hAnsi="Verdana" w:cs="Times New Roman"/>
          <w:color w:val="000000"/>
          <w:sz w:val="21"/>
          <w:szCs w:val="21"/>
          <w:lang w:eastAsia="ru-RU"/>
        </w:rPr>
        <w:lastRenderedPageBreak/>
        <w:t>зберігання, використання, знищення наркотичних засобів, психотропних речовин і прекурсорів, уключених до зазначеного Переліку (далі - діяльність, пов'язана з обігом наркотичних засобів, психотропних речовин і прекурсорів), і зберігання вилучених з незаконного обігу таких засобів і речовин. Місця концентрації можуть бути закритого (приміщення) або відкритого (об'єкти) типу.</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2. </w:t>
      </w:r>
      <w:r w:rsidRPr="004856AC">
        <w:rPr>
          <w:rFonts w:ascii="Verdana" w:eastAsia="Times New Roman" w:hAnsi="Verdana" w:cs="Times New Roman"/>
          <w:color w:val="000000"/>
          <w:sz w:val="21"/>
          <w:lang w:eastAsia="ru-RU"/>
        </w:rPr>
        <w:t>Ц</w:t>
      </w:r>
      <w:r w:rsidRPr="004856AC">
        <w:rPr>
          <w:rFonts w:ascii="Verdana" w:eastAsia="Times New Roman" w:hAnsi="Verdana" w:cs="Times New Roman"/>
          <w:color w:val="000000"/>
          <w:sz w:val="21"/>
          <w:szCs w:val="21"/>
          <w:lang w:eastAsia="ru-RU"/>
        </w:rPr>
        <w:t>і Вимоги застосовуються також до місць концентрації, що проектуються.</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3. </w:t>
      </w:r>
      <w:r w:rsidRPr="004856AC">
        <w:rPr>
          <w:rFonts w:ascii="Verdana" w:eastAsia="Times New Roman" w:hAnsi="Verdana" w:cs="Times New Roman"/>
          <w:color w:val="000000"/>
          <w:sz w:val="21"/>
          <w:lang w:eastAsia="ru-RU"/>
        </w:rPr>
        <w:t>Місця концентрації визначаються суб'єктами господарювання, Службою безпеки України, Національною поліцією України і Державною фіскальною службою України самостійно відповідно до технологічних регламентів та внутрішніх процедур переміщення наркотичних засобів, психотропних речовин, прекурсорів і культивування, перевезення, зберігання та знищення рослин, уключених до Переліку.</w:t>
      </w:r>
      <w:r w:rsidRPr="004856AC">
        <w:rPr>
          <w:rFonts w:ascii="Verdana" w:eastAsia="Times New Roman" w:hAnsi="Verdana" w:cs="Times New Roman"/>
          <w:color w:val="000000"/>
          <w:sz w:val="21"/>
          <w:szCs w:val="21"/>
          <w:lang w:eastAsia="ru-RU"/>
        </w:rPr>
        <w:t>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ісля визначення місць концентрації суб'єктом господарювання, Службою безпеки України, Національною поліцією України і Державною фіскальною службою України готуються план-схема та інструкція з експлікації із зазначенням місць концентрації і шляхів руху цих речовин від одного місця концентрації до іншого.</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Кожне місце концентрації має бути позначено порядковим номером. Щодо кожного місця концентрації в примітках до експлікації вказуються перелік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ідконтрольних речовин, які знаходяться в такому місці, а також ужиті заходи щодо технічного укріплення і оснащення цього місця концентрації.</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II. </w:t>
      </w:r>
      <w:r w:rsidRPr="004856AC">
        <w:rPr>
          <w:rFonts w:ascii="Verdana" w:eastAsia="Times New Roman" w:hAnsi="Verdana" w:cs="Times New Roman"/>
          <w:color w:val="000000"/>
          <w:sz w:val="21"/>
          <w:lang w:eastAsia="ru-RU"/>
        </w:rPr>
        <w:t>Техн</w:t>
      </w:r>
      <w:r w:rsidRPr="004856AC">
        <w:rPr>
          <w:rFonts w:ascii="Verdana" w:eastAsia="Times New Roman" w:hAnsi="Verdana" w:cs="Times New Roman"/>
          <w:color w:val="000000"/>
          <w:sz w:val="21"/>
          <w:szCs w:val="21"/>
          <w:lang w:eastAsia="ru-RU"/>
        </w:rPr>
        <w:t>ічне укріплення</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1. </w:t>
      </w:r>
      <w:r w:rsidRPr="004856AC">
        <w:rPr>
          <w:rFonts w:ascii="Verdana" w:eastAsia="Times New Roman" w:hAnsi="Verdana" w:cs="Times New Roman"/>
          <w:color w:val="000000"/>
          <w:sz w:val="21"/>
          <w:lang w:eastAsia="ru-RU"/>
        </w:rPr>
        <w:t>Техн</w:t>
      </w:r>
      <w:r w:rsidRPr="004856AC">
        <w:rPr>
          <w:rFonts w:ascii="Verdana" w:eastAsia="Times New Roman" w:hAnsi="Verdana" w:cs="Times New Roman"/>
          <w:color w:val="000000"/>
          <w:sz w:val="21"/>
          <w:szCs w:val="21"/>
          <w:lang w:eastAsia="ru-RU"/>
        </w:rPr>
        <w:t>ічне укріплення місць концентрації закритого типу (приміщень):</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1) Приміщення, які використовуються для зберігання вилучених з </w:t>
      </w:r>
      <w:r w:rsidRPr="004856AC">
        <w:rPr>
          <w:rFonts w:ascii="Verdana" w:eastAsia="Times New Roman" w:hAnsi="Verdana" w:cs="Times New Roman"/>
          <w:color w:val="000000"/>
          <w:sz w:val="21"/>
          <w:lang w:eastAsia="ru-RU"/>
        </w:rPr>
        <w:t>незаконного</w:t>
      </w:r>
      <w:r w:rsidRPr="004856AC">
        <w:rPr>
          <w:rFonts w:ascii="Verdana" w:eastAsia="Times New Roman" w:hAnsi="Verdana" w:cs="Times New Roman"/>
          <w:color w:val="000000"/>
          <w:sz w:val="21"/>
          <w:szCs w:val="21"/>
          <w:lang w:eastAsia="ru-RU"/>
        </w:rPr>
        <w:t> обігу наркотичних засобів, психотропних речовин і прекурсорів, повинні відповідати таким вимогам: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мають бути еквівалентні за міцністю цегляним стінам товщиною не менше 500 мм;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ідлога і стеля мають бути еквівалентні за міцністю залізобетонній плиті товщиною не менше 180 мм;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стельове перекриття, підлога, які не відповідають указаним вимогам, з внутрішнього боку по всій площі повинні бути укріплені сталевими ґратами з діаметром прутів не менше 10 мм та розмірами вічок не більше 150x150 мм. Ґрати приварюються до випущених з кладки стіни чи плит, перекритих анкерами діаметром не менше 12 мм, кроком 500x500 мм. Якщо неможливо вмонтувати анкери, то </w:t>
      </w:r>
      <w:r w:rsidRPr="004856AC">
        <w:rPr>
          <w:rFonts w:ascii="Verdana" w:eastAsia="Times New Roman" w:hAnsi="Verdana" w:cs="Times New Roman"/>
          <w:color w:val="000000"/>
          <w:sz w:val="21"/>
          <w:lang w:eastAsia="ru-RU"/>
        </w:rPr>
        <w:t>допускається</w:t>
      </w:r>
      <w:r w:rsidRPr="004856AC">
        <w:rPr>
          <w:rFonts w:ascii="Verdana" w:eastAsia="Times New Roman" w:hAnsi="Verdana" w:cs="Times New Roman"/>
          <w:color w:val="000000"/>
          <w:sz w:val="21"/>
          <w:szCs w:val="21"/>
          <w:lang w:eastAsia="ru-RU"/>
        </w:rPr>
        <w:t> пристрілювати до залізобетонних поверхонь чотирма дюбелями закладні деталі із сталевої штаби розміром 100x50x6 мм;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вхідні двері сховищ повинні бути справні, добре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ідігнані під дверну коробку, металеві або дерев'яні повнотілі, товщиною не менше 40 мм, мати не менше двох врізаних несамозамикальних замків. Дерев'яні двері оббиваються з обох боків листовим залізом товщиною не менше 0,6 мм із загинанням країв листа на внутрішню поверхню дверей </w:t>
      </w:r>
      <w:r w:rsidRPr="004856AC">
        <w:rPr>
          <w:rFonts w:ascii="Verdana" w:eastAsia="Times New Roman" w:hAnsi="Verdana" w:cs="Times New Roman"/>
          <w:color w:val="000000"/>
          <w:sz w:val="21"/>
          <w:lang w:eastAsia="ru-RU"/>
        </w:rPr>
        <w:t>чи на</w:t>
      </w:r>
      <w:r w:rsidRPr="004856AC">
        <w:rPr>
          <w:rFonts w:ascii="Verdana" w:eastAsia="Times New Roman" w:hAnsi="Verdana" w:cs="Times New Roman"/>
          <w:color w:val="000000"/>
          <w:sz w:val="21"/>
          <w:szCs w:val="21"/>
          <w:lang w:eastAsia="ru-RU"/>
        </w:rPr>
        <w:t> торець полотна. Дверний </w:t>
      </w:r>
      <w:r w:rsidRPr="004856AC">
        <w:rPr>
          <w:rFonts w:ascii="Verdana" w:eastAsia="Times New Roman" w:hAnsi="Verdana" w:cs="Times New Roman"/>
          <w:color w:val="000000"/>
          <w:sz w:val="21"/>
          <w:lang w:eastAsia="ru-RU"/>
        </w:rPr>
        <w:t>отв</w:t>
      </w:r>
      <w:r w:rsidRPr="004856AC">
        <w:rPr>
          <w:rFonts w:ascii="Verdana" w:eastAsia="Times New Roman" w:hAnsi="Verdana" w:cs="Times New Roman"/>
          <w:color w:val="000000"/>
          <w:sz w:val="21"/>
          <w:szCs w:val="21"/>
          <w:lang w:eastAsia="ru-RU"/>
        </w:rPr>
        <w:t>ір з внутрішнього боку додатково захищається решітчастими металевими дверима, які виготовляються із сталевого прута діаметром не менше 16 мм, вічками не більше 150x150 мм, які зварюються в кожному перетині. Оформлення дверної коробки виконується із сталевого профілю. У діючих сховищах допускаються дерев'яні коробки, посилені сталевими </w:t>
      </w:r>
      <w:r w:rsidRPr="004856AC">
        <w:rPr>
          <w:rFonts w:ascii="Verdana" w:eastAsia="Times New Roman" w:hAnsi="Verdana" w:cs="Times New Roman"/>
          <w:color w:val="000000"/>
          <w:sz w:val="21"/>
          <w:lang w:eastAsia="ru-RU"/>
        </w:rPr>
        <w:t>р</w:t>
      </w:r>
      <w:r w:rsidRPr="004856AC">
        <w:rPr>
          <w:rFonts w:ascii="Verdana" w:eastAsia="Times New Roman" w:hAnsi="Verdana" w:cs="Times New Roman"/>
          <w:color w:val="000000"/>
          <w:sz w:val="21"/>
          <w:szCs w:val="21"/>
          <w:lang w:eastAsia="ru-RU"/>
        </w:rPr>
        <w:t>іжками розміром 30x40 мм, товщиною не менше 5 мм, закріпленими в стіну штирями з арматурної сталі діаметром 10-12 мм та довжиною 120-150 мм;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віконні отвори приміщень з внутрішнього боку чи між рамами повинні бути обладнані металевими ґратами, які виготовляються із сталевих прутів діаметром не менше 16 мм і відстанню між прутами по вертикалі та горизонталі </w:t>
      </w:r>
      <w:r w:rsidRPr="004856AC">
        <w:rPr>
          <w:rFonts w:ascii="Verdana" w:eastAsia="Times New Roman" w:hAnsi="Verdana" w:cs="Times New Roman"/>
          <w:color w:val="000000"/>
          <w:sz w:val="21"/>
          <w:lang w:eastAsia="ru-RU"/>
        </w:rPr>
        <w:t>не б</w:t>
      </w:r>
      <w:r w:rsidRPr="004856AC">
        <w:rPr>
          <w:rFonts w:ascii="Verdana" w:eastAsia="Times New Roman" w:hAnsi="Verdana" w:cs="Times New Roman"/>
          <w:color w:val="000000"/>
          <w:sz w:val="21"/>
          <w:szCs w:val="21"/>
          <w:lang w:eastAsia="ru-RU"/>
        </w:rPr>
        <w:t>ільше 150 мм. Кінці прутів ґрат замуровуються в </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іну на глибину не менше 80 мм та заливаються бетоном. </w:t>
      </w:r>
      <w:r w:rsidRPr="004856AC">
        <w:rPr>
          <w:rFonts w:ascii="Verdana" w:eastAsia="Times New Roman" w:hAnsi="Verdana" w:cs="Times New Roman"/>
          <w:color w:val="000000"/>
          <w:sz w:val="21"/>
          <w:lang w:eastAsia="ru-RU"/>
        </w:rPr>
        <w:t>Допускається</w:t>
      </w:r>
      <w:r w:rsidRPr="004856AC">
        <w:rPr>
          <w:rFonts w:ascii="Verdana" w:eastAsia="Times New Roman" w:hAnsi="Verdana" w:cs="Times New Roman"/>
          <w:color w:val="000000"/>
          <w:sz w:val="21"/>
          <w:szCs w:val="21"/>
          <w:lang w:eastAsia="ru-RU"/>
        </w:rPr>
        <w:t>використання декоративних ґрат чи жалюзі, які за міцністю не повинні поступатися зазначеним вище ґратам.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lastRenderedPageBreak/>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2) Приміщення, які використовуються як аптечні склади, склади на фармацевтичних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ідприємствах для зберігання наркотичних засобів, психотропних речовин і прекурсорів списку 1 таблиці IV Переліку приміщення, які використовуються для розроблення, виробництва наркотичних засобів, психотропних речовин і прекурсорів списку 1 таблиці IV Переліку, повинні відповідати таким вимогам: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мають бути еквівалентні за міцністю цегляним стінам товщиною не менше 500 мм;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ідлога і стеля мають бути еквівалентні за міцністю залізобетонній плиті товщиною не менше 180 мм;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стельове перекриття, підлога, які не відповідають указаним вимогам, з внутрішнього боку по всій площі повинні бути укріплені сталевими ґратами з діаметром прутів не менше 10 мм та розмірами вічок не більше 150x150 мм. ґрати приварюються до випущених з кладки стіни чи плит, перекритих анкерами діаметром не менше 12 мм, кроком 500x500 мм. Якщо неможливо вмонтувати анкери, то </w:t>
      </w:r>
      <w:r w:rsidRPr="004856AC">
        <w:rPr>
          <w:rFonts w:ascii="Verdana" w:eastAsia="Times New Roman" w:hAnsi="Verdana" w:cs="Times New Roman"/>
          <w:color w:val="000000"/>
          <w:sz w:val="21"/>
          <w:lang w:eastAsia="ru-RU"/>
        </w:rPr>
        <w:t>допускається</w:t>
      </w:r>
      <w:r w:rsidRPr="004856AC">
        <w:rPr>
          <w:rFonts w:ascii="Verdana" w:eastAsia="Times New Roman" w:hAnsi="Verdana" w:cs="Times New Roman"/>
          <w:color w:val="000000"/>
          <w:sz w:val="21"/>
          <w:szCs w:val="21"/>
          <w:lang w:eastAsia="ru-RU"/>
        </w:rPr>
        <w:t> пристрілювати до залізобетонних поверхонь чотирма дюбелями закладні деталі із сталевої штаби розміром 100x50x6 мм;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вхідні двері сховищ повинні бути справні, добре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ідігнані під дверну коробку, металеві або дерев'яні повнотілі, товщиною не менше 40 мм, мати не менше двох врізаних несамозамикальних замків. Дерев'яні двері оббиваються з обох боків листовим залізом товщиною не менше 0,6 мм із загинанням країв листа на внутрішню поверхню дверей </w:t>
      </w:r>
      <w:r w:rsidRPr="004856AC">
        <w:rPr>
          <w:rFonts w:ascii="Verdana" w:eastAsia="Times New Roman" w:hAnsi="Verdana" w:cs="Times New Roman"/>
          <w:color w:val="000000"/>
          <w:sz w:val="21"/>
          <w:lang w:eastAsia="ru-RU"/>
        </w:rPr>
        <w:t>чи на</w:t>
      </w:r>
      <w:r w:rsidRPr="004856AC">
        <w:rPr>
          <w:rFonts w:ascii="Verdana" w:eastAsia="Times New Roman" w:hAnsi="Verdana" w:cs="Times New Roman"/>
          <w:color w:val="000000"/>
          <w:sz w:val="21"/>
          <w:szCs w:val="21"/>
          <w:lang w:eastAsia="ru-RU"/>
        </w:rPr>
        <w:t> торець полотна. Дверний </w:t>
      </w:r>
      <w:r w:rsidRPr="004856AC">
        <w:rPr>
          <w:rFonts w:ascii="Verdana" w:eastAsia="Times New Roman" w:hAnsi="Verdana" w:cs="Times New Roman"/>
          <w:color w:val="000000"/>
          <w:sz w:val="21"/>
          <w:lang w:eastAsia="ru-RU"/>
        </w:rPr>
        <w:t>отв</w:t>
      </w:r>
      <w:r w:rsidRPr="004856AC">
        <w:rPr>
          <w:rFonts w:ascii="Verdana" w:eastAsia="Times New Roman" w:hAnsi="Verdana" w:cs="Times New Roman"/>
          <w:color w:val="000000"/>
          <w:sz w:val="21"/>
          <w:szCs w:val="21"/>
          <w:lang w:eastAsia="ru-RU"/>
        </w:rPr>
        <w:t>ір з внутрішнього боку додатково захищається решітчастими металевими дверима, які виготовляються із сталевого прута діаметром не менше 16 мм, вічками не більше 150x150 мм, які зварюються в кожному перетині. Оформлення дверної коробки виконується із сталевого профілю. У діючих сховищах допускаються дерев'яні коробки, посилені сталевими </w:t>
      </w:r>
      <w:r w:rsidRPr="004856AC">
        <w:rPr>
          <w:rFonts w:ascii="Verdana" w:eastAsia="Times New Roman" w:hAnsi="Verdana" w:cs="Times New Roman"/>
          <w:color w:val="000000"/>
          <w:sz w:val="21"/>
          <w:lang w:eastAsia="ru-RU"/>
        </w:rPr>
        <w:t>р</w:t>
      </w:r>
      <w:r w:rsidRPr="004856AC">
        <w:rPr>
          <w:rFonts w:ascii="Verdana" w:eastAsia="Times New Roman" w:hAnsi="Verdana" w:cs="Times New Roman"/>
          <w:color w:val="000000"/>
          <w:sz w:val="21"/>
          <w:szCs w:val="21"/>
          <w:lang w:eastAsia="ru-RU"/>
        </w:rPr>
        <w:t>іжками розміром 30x40 мм, товщиною не менше 5 мм, закріпленими в стіну штирями з арматурної сталі діаметром 10-12 мм та довжиною 120-150 мм;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віконні отвори приміщень з внутрішнього боку чи між рамами повинні бути обладнані металевими ґратами, які виготовляються із сталевих прутів діаметром не менше 16 мм і відстанню між прутами по вертикалі і горизонталі </w:t>
      </w:r>
      <w:r w:rsidRPr="004856AC">
        <w:rPr>
          <w:rFonts w:ascii="Verdana" w:eastAsia="Times New Roman" w:hAnsi="Verdana" w:cs="Times New Roman"/>
          <w:color w:val="000000"/>
          <w:sz w:val="21"/>
          <w:lang w:eastAsia="ru-RU"/>
        </w:rPr>
        <w:t>не б</w:t>
      </w:r>
      <w:r w:rsidRPr="004856AC">
        <w:rPr>
          <w:rFonts w:ascii="Verdana" w:eastAsia="Times New Roman" w:hAnsi="Verdana" w:cs="Times New Roman"/>
          <w:color w:val="000000"/>
          <w:sz w:val="21"/>
          <w:szCs w:val="21"/>
          <w:lang w:eastAsia="ru-RU"/>
        </w:rPr>
        <w:t>ільше 150 мм. Кінці прутів ґрат замуровуються в </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іну на глибину не менше 80 мм та заливаються бетоном. </w:t>
      </w:r>
      <w:r w:rsidRPr="004856AC">
        <w:rPr>
          <w:rFonts w:ascii="Verdana" w:eastAsia="Times New Roman" w:hAnsi="Verdana" w:cs="Times New Roman"/>
          <w:color w:val="000000"/>
          <w:sz w:val="21"/>
          <w:lang w:eastAsia="ru-RU"/>
        </w:rPr>
        <w:t>Допускається</w:t>
      </w:r>
      <w:r w:rsidRPr="004856AC">
        <w:rPr>
          <w:rFonts w:ascii="Verdana" w:eastAsia="Times New Roman" w:hAnsi="Verdana" w:cs="Times New Roman"/>
          <w:color w:val="000000"/>
          <w:sz w:val="21"/>
          <w:szCs w:val="21"/>
          <w:lang w:eastAsia="ru-RU"/>
        </w:rPr>
        <w:t>використання декоративних ґрат чи жалюзі, які за міцністю не повинні поступатися зазначеним вище ґратам.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3) Приміщення, які використовуються для зберігання наркотичних засобів, психотропних речовин і прекурсорів списку 1 таблиці IV Переліку в лікувально-профілактичних закладах (далі - ЛПЗ) та закладах ветеринарної медицини (</w:t>
      </w:r>
      <w:r w:rsidRPr="004856AC">
        <w:rPr>
          <w:rFonts w:ascii="Verdana" w:eastAsia="Times New Roman" w:hAnsi="Verdana" w:cs="Times New Roman"/>
          <w:color w:val="000000"/>
          <w:sz w:val="21"/>
          <w:lang w:eastAsia="ru-RU"/>
        </w:rPr>
        <w:t>кр</w:t>
      </w:r>
      <w:r w:rsidRPr="004856AC">
        <w:rPr>
          <w:rFonts w:ascii="Verdana" w:eastAsia="Times New Roman" w:hAnsi="Verdana" w:cs="Times New Roman"/>
          <w:color w:val="000000"/>
          <w:sz w:val="21"/>
          <w:szCs w:val="21"/>
          <w:lang w:eastAsia="ru-RU"/>
        </w:rPr>
        <w:t>ім зазначених у підпункті 4 пункту 1 розділу ІІ); повинні відповідати таким вимогам: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мають бути еквівалентні за міцністю цегляним стінам товщиною не менше 500 мм;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ідлога і стеля мають бути еквівалентні за міцністю залізобетонній плиті товщиною не менше 180 мм;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стельове перекриття, підлога, які не відповідають указаним вимогам, з внутрішнього боку по всій площі повинні бути укріплені сталевими ґратами з діаметром прутів не менше 10 мм та розмірами вічок не більше 150x150 мм. ґрати приварюються до випущених з кладки стіни чи плит, перекритих анкерами діаметром не менше 12 мм, кроком 500x500 мм. Якщо неможливо вмонтувати анкери, то допускається пристрілювати до залізобетонних поверхонь чотирма дюбелями закладні деталі із сталевої штаби розміром 100x50x6 мм;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вхідні двері сховищ мають бути справні, добре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ідігнані під дверну коробку, металеві або дерев'яні повнотілі, товщиною не менше 40 мм, мати не менше двох врізаних несамозамикальних замків;</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віконні отвори приміщень з внутрішнього боку чи </w:t>
      </w:r>
      <w:r w:rsidRPr="004856AC">
        <w:rPr>
          <w:rFonts w:ascii="Verdana" w:eastAsia="Times New Roman" w:hAnsi="Verdana" w:cs="Times New Roman"/>
          <w:color w:val="000000"/>
          <w:sz w:val="21"/>
          <w:lang w:eastAsia="ru-RU"/>
        </w:rPr>
        <w:t>між</w:t>
      </w:r>
      <w:r w:rsidRPr="004856AC">
        <w:rPr>
          <w:rFonts w:ascii="Verdana" w:eastAsia="Times New Roman" w:hAnsi="Verdana" w:cs="Times New Roman"/>
          <w:color w:val="000000"/>
          <w:sz w:val="21"/>
          <w:szCs w:val="21"/>
          <w:lang w:eastAsia="ru-RU"/>
        </w:rPr>
        <w:t> рамами повинні    бути обладнані металевими ґратами. </w:t>
      </w:r>
      <w:r w:rsidRPr="004856AC">
        <w:rPr>
          <w:rFonts w:ascii="Verdana" w:eastAsia="Times New Roman" w:hAnsi="Verdana" w:cs="Times New Roman"/>
          <w:color w:val="000000"/>
          <w:sz w:val="21"/>
          <w:lang w:eastAsia="ru-RU"/>
        </w:rPr>
        <w:t>Допускається</w:t>
      </w:r>
      <w:r w:rsidRPr="004856AC">
        <w:rPr>
          <w:rFonts w:ascii="Verdana" w:eastAsia="Times New Roman" w:hAnsi="Verdana" w:cs="Times New Roman"/>
          <w:color w:val="000000"/>
          <w:sz w:val="21"/>
          <w:szCs w:val="21"/>
          <w:lang w:eastAsia="ru-RU"/>
        </w:rPr>
        <w:t> використання декоративних ґрат чи жалюзі, які за міцністю не повинні поступатися зазначеним вище ґратам.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lastRenderedPageBreak/>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4) Приміщення, які використовуються для зберігання наркотичних засобів,  психотропних речовин і прекурсорів списку 1 таблиці IV Переліку в аптеках, дільничних лікарнях, лікарських амбулаторіях, сільських   лікарських амбулаторіях, амбулаторіях сімейної  медицини, відділеннях  (постах) ЛПЗ; у вимірювальних, діагностичних лабораторіях;</w:t>
      </w:r>
      <w:r w:rsidRPr="004856AC">
        <w:rPr>
          <w:rFonts w:ascii="Verdana" w:eastAsia="Times New Roman" w:hAnsi="Verdana" w:cs="Times New Roman"/>
          <w:color w:val="000000"/>
          <w:sz w:val="21"/>
          <w:szCs w:val="21"/>
          <w:lang w:eastAsia="ru-RU"/>
        </w:rPr>
        <w:t> лабораторіях ветеринарної медицини; науково-дослідних інститутах, навчальних </w:t>
      </w:r>
      <w:r w:rsidRPr="004856AC">
        <w:rPr>
          <w:rFonts w:ascii="Verdana" w:eastAsia="Times New Roman" w:hAnsi="Verdana" w:cs="Times New Roman"/>
          <w:color w:val="000000"/>
          <w:sz w:val="21"/>
          <w:lang w:eastAsia="ru-RU"/>
        </w:rPr>
        <w:t>закладах</w:t>
      </w:r>
      <w:r w:rsidRPr="004856AC">
        <w:rPr>
          <w:rFonts w:ascii="Verdana" w:eastAsia="Times New Roman" w:hAnsi="Verdana" w:cs="Times New Roman"/>
          <w:color w:val="000000"/>
          <w:sz w:val="21"/>
          <w:szCs w:val="21"/>
          <w:lang w:eastAsia="ru-RU"/>
        </w:rPr>
        <w:t>;    у лабораторіях контролю якості; у фізичних осіб-підприємців, які мають ліцензію на провадження медичної або ветеринарної  практики, повинні відповідати таким вимогам: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окрема кімната в капітальній буді</w:t>
      </w:r>
      <w:r w:rsidRPr="004856AC">
        <w:rPr>
          <w:rFonts w:ascii="Verdana" w:eastAsia="Times New Roman" w:hAnsi="Verdana" w:cs="Times New Roman"/>
          <w:color w:val="000000"/>
          <w:sz w:val="21"/>
          <w:lang w:eastAsia="ru-RU"/>
        </w:rPr>
        <w:t>вл</w:t>
      </w:r>
      <w:r w:rsidRPr="004856AC">
        <w:rPr>
          <w:rFonts w:ascii="Verdana" w:eastAsia="Times New Roman" w:hAnsi="Verdana" w:cs="Times New Roman"/>
          <w:color w:val="000000"/>
          <w:sz w:val="21"/>
          <w:szCs w:val="21"/>
          <w:lang w:eastAsia="ru-RU"/>
        </w:rPr>
        <w:t>і має бути обладнана сейфами або металевими шафами, прикріпленими до підлоги (стіни);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вхідні двері повинні бути добре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ідігнані під дверну коробку, металеві або дерев'яні повнотілі, товщиною не менше 40 мм, мати не менше двох врізаних несамозамикальних замків;</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віконні отвори приміщень з внутрішнього боку чи </w:t>
      </w:r>
      <w:r w:rsidRPr="004856AC">
        <w:rPr>
          <w:rFonts w:ascii="Verdana" w:eastAsia="Times New Roman" w:hAnsi="Verdana" w:cs="Times New Roman"/>
          <w:color w:val="000000"/>
          <w:sz w:val="21"/>
          <w:lang w:eastAsia="ru-RU"/>
        </w:rPr>
        <w:t>між</w:t>
      </w:r>
      <w:r w:rsidRPr="004856AC">
        <w:rPr>
          <w:rFonts w:ascii="Verdana" w:eastAsia="Times New Roman" w:hAnsi="Verdana" w:cs="Times New Roman"/>
          <w:color w:val="000000"/>
          <w:sz w:val="21"/>
          <w:szCs w:val="21"/>
          <w:lang w:eastAsia="ru-RU"/>
        </w:rPr>
        <w:t> рамами мають бути обладнані металевими ґратами. </w:t>
      </w:r>
      <w:r w:rsidRPr="004856AC">
        <w:rPr>
          <w:rFonts w:ascii="Verdana" w:eastAsia="Times New Roman" w:hAnsi="Verdana" w:cs="Times New Roman"/>
          <w:color w:val="000000"/>
          <w:sz w:val="21"/>
          <w:lang w:eastAsia="ru-RU"/>
        </w:rPr>
        <w:t>Допускається</w:t>
      </w:r>
      <w:r w:rsidRPr="004856AC">
        <w:rPr>
          <w:rFonts w:ascii="Verdana" w:eastAsia="Times New Roman" w:hAnsi="Verdana" w:cs="Times New Roman"/>
          <w:color w:val="000000"/>
          <w:sz w:val="21"/>
          <w:szCs w:val="21"/>
          <w:lang w:eastAsia="ru-RU"/>
        </w:rPr>
        <w:t> використання декоративних ґрат чи жалюзі, які за міцністю не повинні поступатися зазначеним вище ґратам.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5) Приміщення, які використовуються для зберігання прекурсорів списку 2 таблиці IV Переліку; приміщення, які використовуються для розроблення, виробництва і використання прекурсорів списку 2 таблиці IV Переліку (</w:t>
      </w:r>
      <w:r w:rsidRPr="004856AC">
        <w:rPr>
          <w:rFonts w:ascii="Verdana" w:eastAsia="Times New Roman" w:hAnsi="Verdana" w:cs="Times New Roman"/>
          <w:color w:val="000000"/>
          <w:sz w:val="21"/>
          <w:lang w:eastAsia="ru-RU"/>
        </w:rPr>
        <w:t>кр</w:t>
      </w:r>
      <w:r w:rsidRPr="004856AC">
        <w:rPr>
          <w:rFonts w:ascii="Verdana" w:eastAsia="Times New Roman" w:hAnsi="Verdana" w:cs="Times New Roman"/>
          <w:color w:val="000000"/>
          <w:sz w:val="21"/>
          <w:szCs w:val="21"/>
          <w:lang w:eastAsia="ru-RU"/>
        </w:rPr>
        <w:t>ім указаних у підпункті 6 пункту 1 розділу ІІ), повинні відповідати таким вимогам: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зовнішні </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повинні бути капітальними;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внутрішні </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не повинні бути суміжними з безгосподарними приміщеннями або приміщеннями, що належать стороннім організаціям;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і підлога повинні бути з негорючих матеріалів;</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вхідні двері сховищ повинні бути справними, добре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ідігнаними під дверну коробку, мати не менше двох врізаних несамозамикальних замків. Двері дерев'яні оббиваються з обох боків листовим залізом;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дверні отвори повинні мати пороги з пандусами не менше 0,15 м для запобігання розливанню </w:t>
      </w:r>
      <w:r w:rsidRPr="004856AC">
        <w:rPr>
          <w:rFonts w:ascii="Verdana" w:eastAsia="Times New Roman" w:hAnsi="Verdana" w:cs="Times New Roman"/>
          <w:color w:val="000000"/>
          <w:sz w:val="21"/>
          <w:lang w:eastAsia="ru-RU"/>
        </w:rPr>
        <w:t>р</w:t>
      </w:r>
      <w:r w:rsidRPr="004856AC">
        <w:rPr>
          <w:rFonts w:ascii="Verdana" w:eastAsia="Times New Roman" w:hAnsi="Verdana" w:cs="Times New Roman"/>
          <w:color w:val="000000"/>
          <w:sz w:val="21"/>
          <w:szCs w:val="21"/>
          <w:lang w:eastAsia="ru-RU"/>
        </w:rPr>
        <w:t>ідини в разі аварії;</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віконні отвори приміщень з внутрішнього боку чи </w:t>
      </w:r>
      <w:r w:rsidRPr="004856AC">
        <w:rPr>
          <w:rFonts w:ascii="Verdana" w:eastAsia="Times New Roman" w:hAnsi="Verdana" w:cs="Times New Roman"/>
          <w:color w:val="000000"/>
          <w:sz w:val="21"/>
          <w:lang w:eastAsia="ru-RU"/>
        </w:rPr>
        <w:t>між</w:t>
      </w:r>
      <w:r w:rsidRPr="004856AC">
        <w:rPr>
          <w:rFonts w:ascii="Verdana" w:eastAsia="Times New Roman" w:hAnsi="Verdana" w:cs="Times New Roman"/>
          <w:color w:val="000000"/>
          <w:sz w:val="21"/>
          <w:szCs w:val="21"/>
          <w:lang w:eastAsia="ru-RU"/>
        </w:rPr>
        <w:t> рамами повинні бути обладнані металевими ґратами. </w:t>
      </w:r>
      <w:r w:rsidRPr="004856AC">
        <w:rPr>
          <w:rFonts w:ascii="Verdana" w:eastAsia="Times New Roman" w:hAnsi="Verdana" w:cs="Times New Roman"/>
          <w:color w:val="000000"/>
          <w:sz w:val="21"/>
          <w:lang w:eastAsia="ru-RU"/>
        </w:rPr>
        <w:t>Допускається</w:t>
      </w:r>
      <w:r w:rsidRPr="004856AC">
        <w:rPr>
          <w:rFonts w:ascii="Verdana" w:eastAsia="Times New Roman" w:hAnsi="Verdana" w:cs="Times New Roman"/>
          <w:color w:val="000000"/>
          <w:sz w:val="21"/>
          <w:szCs w:val="21"/>
          <w:lang w:eastAsia="ru-RU"/>
        </w:rPr>
        <w:t> використання декоративних ґрат чи жалюзі, які за міцністю не повинні поступатися зазначеним вище ґратам.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6) Приміщення, які використовуються для зберігання прекурсорів списку 2 таблиці IV Переліку за умови місячного обсягу запасу цих речовин не більше ніж 15 кг (л), а також закладів ветеринарної медицини (клініки, лікарні, пункти) та приміщення фізичних осіб-підприємців, які мають ліцензію на</w:t>
      </w:r>
      <w:r w:rsidRPr="004856AC">
        <w:rPr>
          <w:rFonts w:ascii="Verdana" w:eastAsia="Times New Roman" w:hAnsi="Verdana" w:cs="Times New Roman"/>
          <w:color w:val="000000"/>
          <w:sz w:val="21"/>
          <w:szCs w:val="21"/>
          <w:lang w:eastAsia="ru-RU"/>
        </w:rPr>
        <w:t>провадження ветеринарної практики, що використовуються для зберігання та  використання ветеринарних препаратів, які у своєму складі містять психотропні речовини списків 2 таблиць ІІ і ІІІ Переліку (за умови, що загальна кількість діючої речовини не перевищує 10 г), повинні </w:t>
      </w:r>
      <w:r w:rsidRPr="004856AC">
        <w:rPr>
          <w:rFonts w:ascii="Verdana" w:eastAsia="Times New Roman" w:hAnsi="Verdana" w:cs="Times New Roman"/>
          <w:color w:val="000000"/>
          <w:sz w:val="21"/>
          <w:lang w:eastAsia="ru-RU"/>
        </w:rPr>
        <w:t>в</w:t>
      </w:r>
      <w:r w:rsidRPr="004856AC">
        <w:rPr>
          <w:rFonts w:ascii="Verdana" w:eastAsia="Times New Roman" w:hAnsi="Verdana" w:cs="Times New Roman"/>
          <w:color w:val="000000"/>
          <w:sz w:val="21"/>
          <w:szCs w:val="21"/>
          <w:lang w:eastAsia="ru-RU"/>
        </w:rPr>
        <w:t>ідповідати таким вимогам: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окрема кімната в капітальній буді</w:t>
      </w:r>
      <w:r w:rsidRPr="004856AC">
        <w:rPr>
          <w:rFonts w:ascii="Verdana" w:eastAsia="Times New Roman" w:hAnsi="Verdana" w:cs="Times New Roman"/>
          <w:color w:val="000000"/>
          <w:sz w:val="21"/>
          <w:lang w:eastAsia="ru-RU"/>
        </w:rPr>
        <w:t>вл</w:t>
      </w:r>
      <w:r w:rsidRPr="004856AC">
        <w:rPr>
          <w:rFonts w:ascii="Verdana" w:eastAsia="Times New Roman" w:hAnsi="Verdana" w:cs="Times New Roman"/>
          <w:color w:val="000000"/>
          <w:sz w:val="21"/>
          <w:szCs w:val="21"/>
          <w:lang w:eastAsia="ru-RU"/>
        </w:rPr>
        <w:t>і має бути обладнана сейфами або металевими шафами;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вхідні двері повинні бути добре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ідігнані під дверну коробку, металеві або дерев'яні повнотілі, товщиною не менше 40 мм, мати не менше двох врізаних несамозамикальних замків;</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віконні отвори приміщень з внутрішнього боку чи </w:t>
      </w:r>
      <w:r w:rsidRPr="004856AC">
        <w:rPr>
          <w:rFonts w:ascii="Verdana" w:eastAsia="Times New Roman" w:hAnsi="Verdana" w:cs="Times New Roman"/>
          <w:color w:val="000000"/>
          <w:sz w:val="21"/>
          <w:lang w:eastAsia="ru-RU"/>
        </w:rPr>
        <w:t>між</w:t>
      </w:r>
      <w:r w:rsidRPr="004856AC">
        <w:rPr>
          <w:rFonts w:ascii="Verdana" w:eastAsia="Times New Roman" w:hAnsi="Verdana" w:cs="Times New Roman"/>
          <w:color w:val="000000"/>
          <w:sz w:val="21"/>
          <w:szCs w:val="21"/>
          <w:lang w:eastAsia="ru-RU"/>
        </w:rPr>
        <w:t> рамами мають бути обладнані металевими ґратами. </w:t>
      </w:r>
      <w:r w:rsidRPr="004856AC">
        <w:rPr>
          <w:rFonts w:ascii="Verdana" w:eastAsia="Times New Roman" w:hAnsi="Verdana" w:cs="Times New Roman"/>
          <w:color w:val="000000"/>
          <w:sz w:val="21"/>
          <w:lang w:eastAsia="ru-RU"/>
        </w:rPr>
        <w:t>Допускається</w:t>
      </w:r>
      <w:r w:rsidRPr="004856AC">
        <w:rPr>
          <w:rFonts w:ascii="Verdana" w:eastAsia="Times New Roman" w:hAnsi="Verdana" w:cs="Times New Roman"/>
          <w:color w:val="000000"/>
          <w:sz w:val="21"/>
          <w:szCs w:val="21"/>
          <w:lang w:eastAsia="ru-RU"/>
        </w:rPr>
        <w:t> використання декоративних ґрат чи жалюзі, які за міцністю не повинні поступатися зазначеним вище ґратам.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7) Приміщення, які використовуються для здійснення господарської діяльності, </w:t>
      </w:r>
      <w:r w:rsidRPr="004856AC">
        <w:rPr>
          <w:rFonts w:ascii="Verdana" w:eastAsia="Times New Roman" w:hAnsi="Verdana" w:cs="Times New Roman"/>
          <w:color w:val="000000"/>
          <w:sz w:val="21"/>
          <w:lang w:eastAsia="ru-RU"/>
        </w:rPr>
        <w:t>пов'язано</w:t>
      </w:r>
      <w:r w:rsidRPr="004856AC">
        <w:rPr>
          <w:rFonts w:ascii="Verdana" w:eastAsia="Times New Roman" w:hAnsi="Verdana" w:cs="Times New Roman"/>
          <w:color w:val="000000"/>
          <w:sz w:val="21"/>
          <w:szCs w:val="21"/>
          <w:lang w:eastAsia="ru-RU"/>
        </w:rPr>
        <w:t>ї зі зберіганням рослин, уключених до Переліку повинні відповідати  таким вимогам: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xml:space="preserve">вхідні двері мають бути виготовлені з металоконструкцій або з повнотілого дерева товщиною не менше 40 мм. У разі меншої товщини полотно дерев'яних </w:t>
      </w:r>
      <w:r w:rsidRPr="004856AC">
        <w:rPr>
          <w:rFonts w:ascii="Verdana" w:eastAsia="Times New Roman" w:hAnsi="Verdana" w:cs="Times New Roman"/>
          <w:color w:val="000000"/>
          <w:sz w:val="21"/>
          <w:szCs w:val="21"/>
          <w:lang w:eastAsia="ru-RU"/>
        </w:rPr>
        <w:lastRenderedPageBreak/>
        <w:t>дверей </w:t>
      </w:r>
      <w:r w:rsidRPr="004856AC">
        <w:rPr>
          <w:rFonts w:ascii="Verdana" w:eastAsia="Times New Roman" w:hAnsi="Verdana" w:cs="Times New Roman"/>
          <w:color w:val="000000"/>
          <w:sz w:val="21"/>
          <w:lang w:eastAsia="ru-RU"/>
        </w:rPr>
        <w:t>оббивається</w:t>
      </w:r>
      <w:r w:rsidRPr="004856AC">
        <w:rPr>
          <w:rFonts w:ascii="Verdana" w:eastAsia="Times New Roman" w:hAnsi="Verdana" w:cs="Times New Roman"/>
          <w:color w:val="000000"/>
          <w:sz w:val="21"/>
          <w:szCs w:val="21"/>
          <w:lang w:eastAsia="ru-RU"/>
        </w:rPr>
        <w:t> зсередини цільнолистовим залізом товщиною не менше 0,6 мм із загинанням країв листа на торець полотна;</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двостулкові двері обладнуються двома внутрішніми стопорними шпінгалетами або засувами, що встановлюються у верхній та нижній частинах дверного полотна. </w:t>
      </w:r>
      <w:r w:rsidRPr="004856AC">
        <w:rPr>
          <w:rFonts w:ascii="Verdana" w:eastAsia="Times New Roman" w:hAnsi="Verdana" w:cs="Times New Roman"/>
          <w:color w:val="000000"/>
          <w:sz w:val="21"/>
          <w:lang w:eastAsia="ru-RU"/>
        </w:rPr>
        <w:t>З</w:t>
      </w:r>
      <w:r w:rsidRPr="004856AC">
        <w:rPr>
          <w:rFonts w:ascii="Verdana" w:eastAsia="Times New Roman" w:hAnsi="Verdana" w:cs="Times New Roman"/>
          <w:color w:val="000000"/>
          <w:sz w:val="21"/>
          <w:szCs w:val="21"/>
          <w:lang w:eastAsia="ru-RU"/>
        </w:rPr>
        <w:t> метою захисту двостулкових дверей можуть використовуватись спеціальні двосторонні шпінгалетні затвори, що в разі замикання можуть фіксуватися врізаними або навісними замками;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ангар (складське приміщення), який використовується для здійснення господарської діяльності, пов’язаної зі зберіганням рослин, за винятком рослин роду коноплі для промислових цілей за умови використання насіння, зібраного із сортів рослин, у висушеній соломі яких вмі</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тетрагідроканнабінолу не перевищував 0,08 відсотка повинен бути виготовлений з металоконструкцій або з інших </w:t>
      </w:r>
      <w:r w:rsidRPr="004856AC">
        <w:rPr>
          <w:rFonts w:ascii="Verdana" w:eastAsia="Times New Roman" w:hAnsi="Verdana" w:cs="Times New Roman"/>
          <w:color w:val="000000"/>
          <w:sz w:val="21"/>
          <w:lang w:eastAsia="ru-RU"/>
        </w:rPr>
        <w:t>матер</w:t>
      </w:r>
      <w:r w:rsidRPr="004856AC">
        <w:rPr>
          <w:rFonts w:ascii="Verdana" w:eastAsia="Times New Roman" w:hAnsi="Verdana" w:cs="Times New Roman"/>
          <w:color w:val="000000"/>
          <w:sz w:val="21"/>
          <w:szCs w:val="21"/>
          <w:lang w:eastAsia="ru-RU"/>
        </w:rPr>
        <w:t>іалів (повнотілої цегляної чи кам'яної кладки, залізобетону чи еквівалентних за міцністю матеріалів) та мати металевий дах. У разі покриття даху іншими матеріалами обов'язкова наявність дерев'яного, металевого, залізобетонного або з екві</w:t>
      </w:r>
      <w:r w:rsidRPr="004856AC">
        <w:rPr>
          <w:rFonts w:ascii="Verdana" w:eastAsia="Times New Roman" w:hAnsi="Verdana" w:cs="Times New Roman"/>
          <w:color w:val="000000"/>
          <w:sz w:val="21"/>
          <w:lang w:eastAsia="ru-RU"/>
        </w:rPr>
        <w:t>валентного</w:t>
      </w:r>
      <w:r w:rsidRPr="004856AC">
        <w:rPr>
          <w:rFonts w:ascii="Verdana" w:eastAsia="Times New Roman" w:hAnsi="Verdana" w:cs="Times New Roman"/>
          <w:color w:val="000000"/>
          <w:sz w:val="21"/>
          <w:szCs w:val="21"/>
          <w:lang w:eastAsia="ru-RU"/>
        </w:rPr>
        <w:t> за міцністю іншого матеріалу перекриття;</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віконні отвори та віконні прорізи, </w:t>
      </w:r>
      <w:r w:rsidRPr="004856AC">
        <w:rPr>
          <w:rFonts w:ascii="Verdana" w:eastAsia="Times New Roman" w:hAnsi="Verdana" w:cs="Times New Roman"/>
          <w:color w:val="000000"/>
          <w:sz w:val="21"/>
          <w:lang w:eastAsia="ru-RU"/>
        </w:rPr>
        <w:t>у</w:t>
      </w:r>
      <w:r w:rsidRPr="004856AC">
        <w:rPr>
          <w:rFonts w:ascii="Verdana" w:eastAsia="Times New Roman" w:hAnsi="Verdana" w:cs="Times New Roman"/>
          <w:color w:val="000000"/>
          <w:sz w:val="21"/>
          <w:szCs w:val="21"/>
          <w:lang w:eastAsia="ru-RU"/>
        </w:rPr>
        <w:t> разі наявності, обладнуються металевими ґратами або захисними щитами і віконницями. Захисні щити та віконниці за конструкцією мають бути аналогічні вхідним дверям та мати затворні пристрої з внутрішнього боку.</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2. </w:t>
      </w:r>
      <w:r w:rsidRPr="004856AC">
        <w:rPr>
          <w:rFonts w:ascii="Verdana" w:eastAsia="Times New Roman" w:hAnsi="Verdana" w:cs="Times New Roman"/>
          <w:color w:val="000000"/>
          <w:sz w:val="21"/>
          <w:lang w:eastAsia="ru-RU"/>
        </w:rPr>
        <w:t>Техн</w:t>
      </w:r>
      <w:r w:rsidRPr="004856AC">
        <w:rPr>
          <w:rFonts w:ascii="Verdana" w:eastAsia="Times New Roman" w:hAnsi="Verdana" w:cs="Times New Roman"/>
          <w:color w:val="000000"/>
          <w:sz w:val="21"/>
          <w:szCs w:val="21"/>
          <w:lang w:eastAsia="ru-RU"/>
        </w:rPr>
        <w:t>ічне укріплення місць концентрації відкритого типу (об'єктів):</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1) Місця концентрації відкритого типу, які використовуються для обігу прекурсорі</w:t>
      </w:r>
      <w:r w:rsidRPr="004856AC">
        <w:rPr>
          <w:rFonts w:ascii="Verdana" w:eastAsia="Times New Roman" w:hAnsi="Verdana" w:cs="Times New Roman"/>
          <w:color w:val="000000"/>
          <w:sz w:val="21"/>
          <w:lang w:eastAsia="ru-RU"/>
        </w:rPr>
        <w:t>в</w:t>
      </w:r>
      <w:r w:rsidRPr="004856AC">
        <w:rPr>
          <w:rFonts w:ascii="Verdana" w:eastAsia="Times New Roman" w:hAnsi="Verdana" w:cs="Times New Roman"/>
          <w:color w:val="000000"/>
          <w:sz w:val="21"/>
          <w:szCs w:val="21"/>
          <w:lang w:eastAsia="ru-RU"/>
        </w:rPr>
        <w:t> списку 2 таблиці IV Переліку повинні відповідати таким вимогам: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розміщуватися на майданчиках, які мають нижчу позначку щодо прилеглих будівель та населених пункті</w:t>
      </w:r>
      <w:r w:rsidRPr="004856AC">
        <w:rPr>
          <w:rFonts w:ascii="Verdana" w:eastAsia="Times New Roman" w:hAnsi="Verdana" w:cs="Times New Roman"/>
          <w:color w:val="000000"/>
          <w:sz w:val="21"/>
          <w:lang w:eastAsia="ru-RU"/>
        </w:rPr>
        <w:t>в</w:t>
      </w:r>
      <w:r w:rsidRPr="004856AC">
        <w:rPr>
          <w:rFonts w:ascii="Verdana" w:eastAsia="Times New Roman" w:hAnsi="Verdana" w:cs="Times New Roman"/>
          <w:color w:val="000000"/>
          <w:sz w:val="21"/>
          <w:szCs w:val="21"/>
          <w:lang w:eastAsia="ru-RU"/>
        </w:rPr>
        <w:t>;</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територія має бути ізольованою від загальної території суб'єкта господарювання і мати окрему огорожу.</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2) Місця концентрації відкритого типу, які використовуються для здійснення господарської діяльності, пов'язаної з культивуванням рослин, за винятком рослин роду коноплі для промислових цілей за умови використання насіння, зібраного із сортів рослин, у висушеній соломі яких вмі</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тетрагідроканнабінолу не перевищував 0,08 відсотка, уключених до Переліку повинні відповідати таким вимогам: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розташовуватися на відстані не менше ніж 1 км від населених пунктів, 1 км від автомобільних доріг державного та місцевого значення, залізничних шляхів сполучення, лісових угідь та не менше ніж 3 км від мі</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 що мають спеціальний статус, республіканського й обласного підпорядкування, а також </w:t>
      </w:r>
      <w:r w:rsidRPr="004856AC">
        <w:rPr>
          <w:rFonts w:ascii="Verdana" w:eastAsia="Times New Roman" w:hAnsi="Verdana" w:cs="Times New Roman"/>
          <w:color w:val="000000"/>
          <w:sz w:val="21"/>
          <w:lang w:eastAsia="ru-RU"/>
        </w:rPr>
        <w:t>державного</w:t>
      </w:r>
      <w:r w:rsidRPr="004856AC">
        <w:rPr>
          <w:rFonts w:ascii="Verdana" w:eastAsia="Times New Roman" w:hAnsi="Verdana" w:cs="Times New Roman"/>
          <w:color w:val="000000"/>
          <w:sz w:val="21"/>
          <w:szCs w:val="21"/>
          <w:lang w:eastAsia="ru-RU"/>
        </w:rPr>
        <w:t> кордону України.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3) Територія місць концентрації відкритого типу, які використовуються для здійснення господарської діяльності, </w:t>
      </w:r>
      <w:r w:rsidRPr="004856AC">
        <w:rPr>
          <w:rFonts w:ascii="Verdana" w:eastAsia="Times New Roman" w:hAnsi="Verdana" w:cs="Times New Roman"/>
          <w:color w:val="000000"/>
          <w:sz w:val="21"/>
          <w:lang w:eastAsia="ru-RU"/>
        </w:rPr>
        <w:t>пов'язано</w:t>
      </w:r>
      <w:r w:rsidRPr="004856AC">
        <w:rPr>
          <w:rFonts w:ascii="Verdana" w:eastAsia="Times New Roman" w:hAnsi="Verdana" w:cs="Times New Roman"/>
          <w:color w:val="000000"/>
          <w:sz w:val="21"/>
          <w:szCs w:val="21"/>
          <w:lang w:eastAsia="ru-RU"/>
        </w:rPr>
        <w:t>ї зі зберіганням і знищенням рослин, уключених до Переліку має бути ізольованою від загальної території суб'єкта господарювання, очищеною від кущів і чагарників.</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III. Оснащення місць концентрації</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1. Оснащення місць концентрації закритого типу (приміщень):</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1) Приміщення, які використовуються для зберігання вилучених з незаконного обігу наркотичних засобів, психотропних речовин і прекурсорів, повинні бути обладнані багаторубіжними системами охоронної сигналізації з використанням сучасних </w:t>
      </w:r>
      <w:r w:rsidRPr="004856AC">
        <w:rPr>
          <w:rFonts w:ascii="Verdana" w:eastAsia="Times New Roman" w:hAnsi="Verdana" w:cs="Times New Roman"/>
          <w:color w:val="000000"/>
          <w:sz w:val="21"/>
          <w:lang w:eastAsia="ru-RU"/>
        </w:rPr>
        <w:t>техн</w:t>
      </w:r>
      <w:r w:rsidRPr="004856AC">
        <w:rPr>
          <w:rFonts w:ascii="Verdana" w:eastAsia="Times New Roman" w:hAnsi="Verdana" w:cs="Times New Roman"/>
          <w:color w:val="000000"/>
          <w:sz w:val="21"/>
          <w:szCs w:val="21"/>
          <w:lang w:eastAsia="ru-RU"/>
        </w:rPr>
        <w:t>ічних засобів.</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Самостійний рубіж охоронної сигналізації - це умовний кордон у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 xml:space="preserve">ідохоронній зоні, що включає в себе відокремлені шлейфи (шлейф) охоронної сигналізації, </w:t>
      </w:r>
      <w:r w:rsidRPr="004856AC">
        <w:rPr>
          <w:rFonts w:ascii="Verdana" w:eastAsia="Times New Roman" w:hAnsi="Verdana" w:cs="Times New Roman"/>
          <w:color w:val="000000"/>
          <w:sz w:val="21"/>
          <w:szCs w:val="21"/>
          <w:lang w:eastAsia="ru-RU"/>
        </w:rPr>
        <w:lastRenderedPageBreak/>
        <w:t>інформація з яких виводиться окремо на прилади приймально-контрольні (далі - ППК), та/або системи передавання тривожних сповіщень (далі - СПТС), та/або пульти централізованого спостереження (далі - ПЦС).</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Першим рубежем охоронної сигналізації захищають периметр будівельних конструкцій (вікна, двері, люки, вентиляційні канали, </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стелі, підлоги та інші елементи будівель, доступні для проникнення із зовні). Для захисту першого рубежу охоронної сигналізації рекомендується застосовувати сповіщувачі: точкові, електроконтактні і магнітоконтактні; поверхневі та </w:t>
      </w:r>
      <w:r w:rsidRPr="004856AC">
        <w:rPr>
          <w:rFonts w:ascii="Verdana" w:eastAsia="Times New Roman" w:hAnsi="Verdana" w:cs="Times New Roman"/>
          <w:color w:val="000000"/>
          <w:sz w:val="21"/>
          <w:lang w:eastAsia="ru-RU"/>
        </w:rPr>
        <w:t>л</w:t>
      </w:r>
      <w:r w:rsidRPr="004856AC">
        <w:rPr>
          <w:rFonts w:ascii="Verdana" w:eastAsia="Times New Roman" w:hAnsi="Verdana" w:cs="Times New Roman"/>
          <w:color w:val="000000"/>
          <w:sz w:val="21"/>
          <w:szCs w:val="21"/>
          <w:lang w:eastAsia="ru-RU"/>
        </w:rPr>
        <w:t>інійні омічні, оптико-електронні, інфрачервоні, поверхневі вібраційні та об'ємні акустичні.</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Двері блокуються на відкривання і пролом. Вікна захищаються сигналізацією </w:t>
      </w:r>
      <w:r w:rsidRPr="004856AC">
        <w:rPr>
          <w:rFonts w:ascii="Verdana" w:eastAsia="Times New Roman" w:hAnsi="Verdana" w:cs="Times New Roman"/>
          <w:color w:val="000000"/>
          <w:sz w:val="21"/>
          <w:lang w:eastAsia="ru-RU"/>
        </w:rPr>
        <w:t>на</w:t>
      </w:r>
      <w:r w:rsidRPr="004856AC">
        <w:rPr>
          <w:rFonts w:ascii="Verdana" w:eastAsia="Times New Roman" w:hAnsi="Verdana" w:cs="Times New Roman"/>
          <w:color w:val="000000"/>
          <w:sz w:val="21"/>
          <w:szCs w:val="21"/>
          <w:lang w:eastAsia="ru-RU"/>
        </w:rPr>
        <w:t> відкривання і руйнування скла. Некапітальні </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стелі, місця вводу комунікацій - на пролом. Капітальні </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вентиляційні коробки - на руйнування та ударну дію.</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Другим рубежем захищають внутрішні об'єми, площі та внутрішні двері приміщень. Для захисту </w:t>
      </w:r>
      <w:r w:rsidRPr="004856AC">
        <w:rPr>
          <w:rFonts w:ascii="Verdana" w:eastAsia="Times New Roman" w:hAnsi="Verdana" w:cs="Times New Roman"/>
          <w:color w:val="000000"/>
          <w:sz w:val="21"/>
          <w:lang w:eastAsia="ru-RU"/>
        </w:rPr>
        <w:t>другого</w:t>
      </w:r>
      <w:r w:rsidRPr="004856AC">
        <w:rPr>
          <w:rFonts w:ascii="Verdana" w:eastAsia="Times New Roman" w:hAnsi="Verdana" w:cs="Times New Roman"/>
          <w:color w:val="000000"/>
          <w:sz w:val="21"/>
          <w:szCs w:val="21"/>
          <w:lang w:eastAsia="ru-RU"/>
        </w:rPr>
        <w:t> рубежу охоронної сигналізації рекомендується застосовувати сповіщувачі: оптико-електронні, інфрачервоні радіохвильові, ультразвукові, точкові, електроконтактні і магнітоконтактні, лінійні та об'ємні.</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Третім рубежем захищаються безпосередньо: сховища, сейфи, металеві шафи та ящики, що використовуються для зберігання наркотичних засобів, психотропних речовин і прекурсорі</w:t>
      </w:r>
      <w:r w:rsidRPr="004856AC">
        <w:rPr>
          <w:rFonts w:ascii="Verdana" w:eastAsia="Times New Roman" w:hAnsi="Verdana" w:cs="Times New Roman"/>
          <w:color w:val="000000"/>
          <w:sz w:val="21"/>
          <w:lang w:eastAsia="ru-RU"/>
        </w:rPr>
        <w:t>в</w:t>
      </w:r>
      <w:r w:rsidRPr="004856AC">
        <w:rPr>
          <w:rFonts w:ascii="Verdana" w:eastAsia="Times New Roman" w:hAnsi="Verdana" w:cs="Times New Roman"/>
          <w:color w:val="000000"/>
          <w:sz w:val="21"/>
          <w:szCs w:val="21"/>
          <w:lang w:eastAsia="ru-RU"/>
        </w:rPr>
        <w:t>. При цьому застосовуються оптико-електронні, ємнісні, акустичні, удароконтактні, теплові, електроконтактні, магнітоконтактні та омічні сповіщувачі.</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На окремі рубежі охоронної сигналізації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ідключаються точкові електроконтактні та магнітоконтактні сповіщувачі (кнопки) тривожної сигналізації, що використовуються персоналом, який виконує операції з наркотичними засобами, для подачі сигналу "тривога" у разі нападу на об'єкт (приміщення) або при виникненні іншої загрози життю та здоров'ю людей.</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2) Приміщення, які використовуються як аптечні склади, склади на фармацевтичних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ідприємствах для зберігання наркотичних засобів, психотропних речовин і прекурсорів списку 1 таблиці IV Переліку приміщення, які використовуються для розроблення або виробництва наркотичних засобів, психотропних речовин і прекурсорів списку 1 таблиці IV Переліку, повинні бути обладнані багаторубіжними системами охоронної сигналізації з використанням сучасних </w:t>
      </w:r>
      <w:r w:rsidRPr="004856AC">
        <w:rPr>
          <w:rFonts w:ascii="Verdana" w:eastAsia="Times New Roman" w:hAnsi="Verdana" w:cs="Times New Roman"/>
          <w:color w:val="000000"/>
          <w:sz w:val="21"/>
          <w:lang w:eastAsia="ru-RU"/>
        </w:rPr>
        <w:t>техн</w:t>
      </w:r>
      <w:r w:rsidRPr="004856AC">
        <w:rPr>
          <w:rFonts w:ascii="Verdana" w:eastAsia="Times New Roman" w:hAnsi="Verdana" w:cs="Times New Roman"/>
          <w:color w:val="000000"/>
          <w:sz w:val="21"/>
          <w:szCs w:val="21"/>
          <w:lang w:eastAsia="ru-RU"/>
        </w:rPr>
        <w:t>ічних засобів.</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Самостійний рубіж охоронної сигналізації - це умовний кордон у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ідохоронній зоні, що включає в себе відокремлені шлейфи (шлейф) охоронної сигналізації, інформація з яких виводиться окремо на ППК, та/або СПТС, та/або ПЦС.</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Першим рубежем охоронної сигналізації захищають периметр будівельних конструкцій (вікна, двері, люки, вентиляційні канали, </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стелі, підлоги та інші елементи будівель, доступні для проникнення із зовні). Для захисту першого рубежу охоронної сигналізації рекомендується застосовувати сповіщувачі: точкові, електроконтактні і магнітоконтактні; поверхневі та </w:t>
      </w:r>
      <w:r w:rsidRPr="004856AC">
        <w:rPr>
          <w:rFonts w:ascii="Verdana" w:eastAsia="Times New Roman" w:hAnsi="Verdana" w:cs="Times New Roman"/>
          <w:color w:val="000000"/>
          <w:sz w:val="21"/>
          <w:lang w:eastAsia="ru-RU"/>
        </w:rPr>
        <w:t>л</w:t>
      </w:r>
      <w:r w:rsidRPr="004856AC">
        <w:rPr>
          <w:rFonts w:ascii="Verdana" w:eastAsia="Times New Roman" w:hAnsi="Verdana" w:cs="Times New Roman"/>
          <w:color w:val="000000"/>
          <w:sz w:val="21"/>
          <w:szCs w:val="21"/>
          <w:lang w:eastAsia="ru-RU"/>
        </w:rPr>
        <w:t>інійні омічні, оптико-електронні, інфрачервоні, поверхневі вібраційні й об'ємні акустичні.</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Двері блокуються на відкривання і пролом. Вікна захищаються сигналізацією </w:t>
      </w:r>
      <w:r w:rsidRPr="004856AC">
        <w:rPr>
          <w:rFonts w:ascii="Verdana" w:eastAsia="Times New Roman" w:hAnsi="Verdana" w:cs="Times New Roman"/>
          <w:color w:val="000000"/>
          <w:sz w:val="21"/>
          <w:lang w:eastAsia="ru-RU"/>
        </w:rPr>
        <w:t>на</w:t>
      </w:r>
      <w:r w:rsidRPr="004856AC">
        <w:rPr>
          <w:rFonts w:ascii="Verdana" w:eastAsia="Times New Roman" w:hAnsi="Verdana" w:cs="Times New Roman"/>
          <w:color w:val="000000"/>
          <w:sz w:val="21"/>
          <w:szCs w:val="21"/>
          <w:lang w:eastAsia="ru-RU"/>
        </w:rPr>
        <w:t> відкривання і руйнування скла.  Некапітальні </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стелі, місця вводу комунікацій - на пролом. Капітальні </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вентиляційні коробки - на руйнування та ударну дію.</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Другим рубежем захищають внутрішні об'єми, площі та внутрішні двері приміщень. Для захисту </w:t>
      </w:r>
      <w:r w:rsidRPr="004856AC">
        <w:rPr>
          <w:rFonts w:ascii="Verdana" w:eastAsia="Times New Roman" w:hAnsi="Verdana" w:cs="Times New Roman"/>
          <w:color w:val="000000"/>
          <w:sz w:val="21"/>
          <w:lang w:eastAsia="ru-RU"/>
        </w:rPr>
        <w:t>другого</w:t>
      </w:r>
      <w:r w:rsidRPr="004856AC">
        <w:rPr>
          <w:rFonts w:ascii="Verdana" w:eastAsia="Times New Roman" w:hAnsi="Verdana" w:cs="Times New Roman"/>
          <w:color w:val="000000"/>
          <w:sz w:val="21"/>
          <w:szCs w:val="21"/>
          <w:lang w:eastAsia="ru-RU"/>
        </w:rPr>
        <w:t> рубежу охоронної сигналізації рекомендується застосовувати сповіщувачі: оптико-електронні, інфрачервоні радіохвильові, ультразвукові, точкові, електроконтактні і магнітоконтактні, лінійні та об'ємні.</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Третім рубежем захищаються безпосередньо: сховища, сейфи, металеві шафи та ящики, що використовуються для зберігання наркотичних засобів, психотропних речовин і прекурсорі</w:t>
      </w:r>
      <w:r w:rsidRPr="004856AC">
        <w:rPr>
          <w:rFonts w:ascii="Verdana" w:eastAsia="Times New Roman" w:hAnsi="Verdana" w:cs="Times New Roman"/>
          <w:color w:val="000000"/>
          <w:sz w:val="21"/>
          <w:lang w:eastAsia="ru-RU"/>
        </w:rPr>
        <w:t>в</w:t>
      </w:r>
      <w:r w:rsidRPr="004856AC">
        <w:rPr>
          <w:rFonts w:ascii="Verdana" w:eastAsia="Times New Roman" w:hAnsi="Verdana" w:cs="Times New Roman"/>
          <w:color w:val="000000"/>
          <w:sz w:val="21"/>
          <w:szCs w:val="21"/>
          <w:lang w:eastAsia="ru-RU"/>
        </w:rPr>
        <w:t>. При цьому застосовуються оптико-електронні, ємнісні, акустичні, удароконтактні, теплові, електроконтактні, магнітоконтактні та омічні сповіщувачі.</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lastRenderedPageBreak/>
        <w:t>На окремі рубежі охоронної сигналізації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ідключаються точкові електроконтактні та магнітоконтактні сповіщувачі (кнопки) тривожної сигналізації, що використовуються персоналом, який виконує операції з наркотичними засобами, для подачі сигналу "тривога" у разі нападу на об'єкт (приміщення) або при виникненні іншої загрози життю та здоров'ю людей.</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3) Приміщення, які використовуються для зберігання наркотичних засобів, психотропних речовин і прекурсорів списку 1 таблиці IV Переліку в ЛПЗ та закладах ветеринарної медицини (</w:t>
      </w:r>
      <w:r w:rsidRPr="004856AC">
        <w:rPr>
          <w:rFonts w:ascii="Verdana" w:eastAsia="Times New Roman" w:hAnsi="Verdana" w:cs="Times New Roman"/>
          <w:color w:val="000000"/>
          <w:sz w:val="21"/>
          <w:lang w:eastAsia="ru-RU"/>
        </w:rPr>
        <w:t>кр</w:t>
      </w:r>
      <w:r w:rsidRPr="004856AC">
        <w:rPr>
          <w:rFonts w:ascii="Verdana" w:eastAsia="Times New Roman" w:hAnsi="Verdana" w:cs="Times New Roman"/>
          <w:color w:val="000000"/>
          <w:sz w:val="21"/>
          <w:szCs w:val="21"/>
          <w:lang w:eastAsia="ru-RU"/>
        </w:rPr>
        <w:t>ім зазначених у підпункті 4 пункту 1 розділу ІІ); повинні бути обладнані сигналізацією, що захищає будівельні конструкції периметрі</w:t>
      </w:r>
      <w:r w:rsidRPr="004856AC">
        <w:rPr>
          <w:rFonts w:ascii="Verdana" w:eastAsia="Times New Roman" w:hAnsi="Verdana" w:cs="Times New Roman"/>
          <w:color w:val="000000"/>
          <w:sz w:val="21"/>
          <w:lang w:eastAsia="ru-RU"/>
        </w:rPr>
        <w:t>в</w:t>
      </w:r>
      <w:r w:rsidRPr="004856AC">
        <w:rPr>
          <w:rFonts w:ascii="Verdana" w:eastAsia="Times New Roman" w:hAnsi="Verdana" w:cs="Times New Roman"/>
          <w:color w:val="000000"/>
          <w:sz w:val="21"/>
          <w:szCs w:val="21"/>
          <w:lang w:eastAsia="ru-RU"/>
        </w:rPr>
        <w:t> </w:t>
      </w:r>
      <w:r w:rsidRPr="004856AC">
        <w:rPr>
          <w:rFonts w:ascii="Verdana" w:eastAsia="Times New Roman" w:hAnsi="Verdana" w:cs="Times New Roman"/>
          <w:color w:val="000000"/>
          <w:sz w:val="21"/>
          <w:lang w:eastAsia="ru-RU"/>
        </w:rPr>
        <w:t>прим</w:t>
      </w:r>
      <w:r w:rsidRPr="004856AC">
        <w:rPr>
          <w:rFonts w:ascii="Verdana" w:eastAsia="Times New Roman" w:hAnsi="Verdana" w:cs="Times New Roman"/>
          <w:color w:val="000000"/>
          <w:sz w:val="21"/>
          <w:szCs w:val="21"/>
          <w:lang w:eastAsia="ru-RU"/>
        </w:rPr>
        <w:t>іщень: віконні та дверні отвори, вентиляційні канали, теплові вводи та інші елементи приміщення, які доступні для  проникнення із зовнішнього боку.</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Двері блокуються на відкривання і пролом. Вікна захищаються сигналізацією </w:t>
      </w:r>
      <w:r w:rsidRPr="004856AC">
        <w:rPr>
          <w:rFonts w:ascii="Verdana" w:eastAsia="Times New Roman" w:hAnsi="Verdana" w:cs="Times New Roman"/>
          <w:color w:val="000000"/>
          <w:sz w:val="21"/>
          <w:lang w:eastAsia="ru-RU"/>
        </w:rPr>
        <w:t>на</w:t>
      </w:r>
      <w:r w:rsidRPr="004856AC">
        <w:rPr>
          <w:rFonts w:ascii="Verdana" w:eastAsia="Times New Roman" w:hAnsi="Verdana" w:cs="Times New Roman"/>
          <w:color w:val="000000"/>
          <w:sz w:val="21"/>
          <w:szCs w:val="21"/>
          <w:lang w:eastAsia="ru-RU"/>
        </w:rPr>
        <w:t> відкривання і руйнування скла.  Некапітальні </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стелі, місця вводу комунікацій - на пролом. Капітальні </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вентиляційні коробки - на руйнування та ударну дію з виведенням сигналу «тривога» на пульти централізованого спостереження поліції охорони.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4) Приміщення, які використовуються для зберігання наркотичних засобів,  психотропних речовин і прекурсорів списку 1 таблиці IV Переліку в аптеках, дільничних лікарнях, лікарських амбулаторіях, сільських лікарських амбулаторіях, амбулаторіях сімейної медицини, відділеннях  (постах) ЛПЗ; у вимірювальних, діагностичних лабораторіях;</w:t>
      </w:r>
      <w:r w:rsidRPr="004856AC">
        <w:rPr>
          <w:rFonts w:ascii="Verdana" w:eastAsia="Times New Roman" w:hAnsi="Verdana" w:cs="Times New Roman"/>
          <w:color w:val="000000"/>
          <w:sz w:val="21"/>
          <w:szCs w:val="21"/>
          <w:lang w:eastAsia="ru-RU"/>
        </w:rPr>
        <w:t> лабораторіях ветеринарної медицини; науково-дослідних інститутах, навчальних </w:t>
      </w:r>
      <w:r w:rsidRPr="004856AC">
        <w:rPr>
          <w:rFonts w:ascii="Verdana" w:eastAsia="Times New Roman" w:hAnsi="Verdana" w:cs="Times New Roman"/>
          <w:color w:val="000000"/>
          <w:sz w:val="21"/>
          <w:lang w:eastAsia="ru-RU"/>
        </w:rPr>
        <w:t>закладах</w:t>
      </w:r>
      <w:r w:rsidRPr="004856AC">
        <w:rPr>
          <w:rFonts w:ascii="Verdana" w:eastAsia="Times New Roman" w:hAnsi="Verdana" w:cs="Times New Roman"/>
          <w:color w:val="000000"/>
          <w:sz w:val="21"/>
          <w:szCs w:val="21"/>
          <w:lang w:eastAsia="ru-RU"/>
        </w:rPr>
        <w:t>; у лабораторіях контролю якості; у фізичних осіб -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ідприємців, які мають ліцензію на провадження медичної або ветеринарної практики, повинні бути обладнані засобами автономної сигналізації, що захищають внутрішні  об'єми і площі приміщень, сейфи (металеві  шафи), що використовуються для зберігання, з виведенням сигналу «тривога» на пульти централізованого спостереження або місцеві звукові та світлові сигналізатори.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5) Приміщення, які використовуються для зберігання прекурсорі</w:t>
      </w:r>
      <w:r w:rsidRPr="004856AC">
        <w:rPr>
          <w:rFonts w:ascii="Verdana" w:eastAsia="Times New Roman" w:hAnsi="Verdana" w:cs="Times New Roman"/>
          <w:color w:val="000000"/>
          <w:sz w:val="21"/>
          <w:lang w:eastAsia="ru-RU"/>
        </w:rPr>
        <w:t>в</w:t>
      </w:r>
      <w:r w:rsidRPr="004856AC">
        <w:rPr>
          <w:rFonts w:ascii="Verdana" w:eastAsia="Times New Roman" w:hAnsi="Verdana" w:cs="Times New Roman"/>
          <w:color w:val="000000"/>
          <w:sz w:val="21"/>
          <w:szCs w:val="21"/>
          <w:lang w:eastAsia="ru-RU"/>
        </w:rPr>
        <w:t> списку 2 таблиці IV Переліку; приміщення, які використовуються для розроблення або виробництва і використання прекурсорів  списку 2 таблиці IV Переліку (</w:t>
      </w:r>
      <w:r w:rsidRPr="004856AC">
        <w:rPr>
          <w:rFonts w:ascii="Verdana" w:eastAsia="Times New Roman" w:hAnsi="Verdana" w:cs="Times New Roman"/>
          <w:color w:val="000000"/>
          <w:sz w:val="21"/>
          <w:lang w:eastAsia="ru-RU"/>
        </w:rPr>
        <w:t>кр</w:t>
      </w:r>
      <w:r w:rsidRPr="004856AC">
        <w:rPr>
          <w:rFonts w:ascii="Verdana" w:eastAsia="Times New Roman" w:hAnsi="Verdana" w:cs="Times New Roman"/>
          <w:color w:val="000000"/>
          <w:sz w:val="21"/>
          <w:szCs w:val="21"/>
          <w:lang w:eastAsia="ru-RU"/>
        </w:rPr>
        <w:t>ім указаних у підпункті 6 пункту 1 розділу ІІ), повинні бути обладнані сигналізацією, що захищає будівельні конструкції периметрів приміщень: віконні та дверні отвори, вентиляційні канали, теплові вводи та інші елементи приміщення, які доступні для проникнення із зовнішнього боку.</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Двері блокуються на відкривання і пролом. Вікна захищаються сигналізацією </w:t>
      </w:r>
      <w:r w:rsidRPr="004856AC">
        <w:rPr>
          <w:rFonts w:ascii="Verdana" w:eastAsia="Times New Roman" w:hAnsi="Verdana" w:cs="Times New Roman"/>
          <w:color w:val="000000"/>
          <w:sz w:val="21"/>
          <w:lang w:eastAsia="ru-RU"/>
        </w:rPr>
        <w:t>на</w:t>
      </w:r>
      <w:r w:rsidRPr="004856AC">
        <w:rPr>
          <w:rFonts w:ascii="Verdana" w:eastAsia="Times New Roman" w:hAnsi="Verdana" w:cs="Times New Roman"/>
          <w:color w:val="000000"/>
          <w:sz w:val="21"/>
          <w:szCs w:val="21"/>
          <w:lang w:eastAsia="ru-RU"/>
        </w:rPr>
        <w:t> відкривання і руйнування скла. Некапітальні </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стелі, місця вводу комунікацій - на пролом. Капітальні </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іни, вентиляційні коробки на руйнування і ударну дію з виведенням сигналу «тривога» на пульти централізованого спостереження або місцеві звукові та світлові сигналізатори.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6) Приміщення, які використовуються для зберігання прекурсорів списку 2 таблиці IV Переліку за умови місячного обсягу запасу цих речовин не більше ніж 15 кг (л), повинні бути обладнані засобами автономної сигналізації, що захищають внутрішні об'єми і площі приміщень, сейфи (металеві шафи), що використовуються для зберігання, з виведенням сигналу «тривога</w:t>
      </w:r>
      <w:r w:rsidRPr="004856AC">
        <w:rPr>
          <w:rFonts w:ascii="Verdana" w:eastAsia="Times New Roman" w:hAnsi="Verdana" w:cs="Times New Roman"/>
          <w:color w:val="000000"/>
          <w:sz w:val="21"/>
          <w:szCs w:val="21"/>
          <w:lang w:eastAsia="ru-RU"/>
        </w:rPr>
        <w:t>» на пульти централізованого спостереження або місцеві звукові й </w:t>
      </w:r>
      <w:r w:rsidRPr="004856AC">
        <w:rPr>
          <w:rFonts w:ascii="Verdana" w:eastAsia="Times New Roman" w:hAnsi="Verdana" w:cs="Times New Roman"/>
          <w:color w:val="000000"/>
          <w:sz w:val="21"/>
          <w:lang w:eastAsia="ru-RU"/>
        </w:rPr>
        <w:t>св</w:t>
      </w:r>
      <w:r w:rsidRPr="004856AC">
        <w:rPr>
          <w:rFonts w:ascii="Verdana" w:eastAsia="Times New Roman" w:hAnsi="Verdana" w:cs="Times New Roman"/>
          <w:color w:val="000000"/>
          <w:sz w:val="21"/>
          <w:szCs w:val="21"/>
          <w:lang w:eastAsia="ru-RU"/>
        </w:rPr>
        <w:t>ітлові сигналізатори.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7) Приміщення, які використовуються для здійснення господарської діяльності, </w:t>
      </w:r>
      <w:r w:rsidRPr="004856AC">
        <w:rPr>
          <w:rFonts w:ascii="Verdana" w:eastAsia="Times New Roman" w:hAnsi="Verdana" w:cs="Times New Roman"/>
          <w:color w:val="000000"/>
          <w:sz w:val="21"/>
          <w:lang w:eastAsia="ru-RU"/>
        </w:rPr>
        <w:t>пов'язано</w:t>
      </w:r>
      <w:r w:rsidRPr="004856AC">
        <w:rPr>
          <w:rFonts w:ascii="Verdana" w:eastAsia="Times New Roman" w:hAnsi="Verdana" w:cs="Times New Roman"/>
          <w:color w:val="000000"/>
          <w:sz w:val="21"/>
          <w:szCs w:val="21"/>
          <w:lang w:eastAsia="ru-RU"/>
        </w:rPr>
        <w:t>ї зі зберіганням і знищенням нарковмісних рослин, повинні бути обладнані:</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системою охоронної сигналізації, що захищає будівельні конструкції периметрів приміщень, внутрішні об'єми і площі приміщень з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ідключенням до пультів централізованого спостереження поліції охорони. У разі відсутності </w:t>
      </w:r>
      <w:r w:rsidRPr="004856AC">
        <w:rPr>
          <w:rFonts w:ascii="Verdana" w:eastAsia="Times New Roman" w:hAnsi="Verdana" w:cs="Times New Roman"/>
          <w:color w:val="000000"/>
          <w:sz w:val="21"/>
          <w:lang w:eastAsia="ru-RU"/>
        </w:rPr>
        <w:t>техн</w:t>
      </w:r>
      <w:r w:rsidRPr="004856AC">
        <w:rPr>
          <w:rFonts w:ascii="Verdana" w:eastAsia="Times New Roman" w:hAnsi="Verdana" w:cs="Times New Roman"/>
          <w:color w:val="000000"/>
          <w:sz w:val="21"/>
          <w:szCs w:val="21"/>
          <w:lang w:eastAsia="ru-RU"/>
        </w:rPr>
        <w:t xml:space="preserve">ічної </w:t>
      </w:r>
      <w:r w:rsidRPr="004856AC">
        <w:rPr>
          <w:rFonts w:ascii="Verdana" w:eastAsia="Times New Roman" w:hAnsi="Verdana" w:cs="Times New Roman"/>
          <w:color w:val="000000"/>
          <w:sz w:val="21"/>
          <w:szCs w:val="21"/>
          <w:lang w:eastAsia="ru-RU"/>
        </w:rPr>
        <w:lastRenderedPageBreak/>
        <w:t>можливості підключення систем охоронної сигналізації до пультів централізованого спостереження поліції охорони - засобами автономної сигналізації з виводом тривожних оповіщень на звукові та світлові оповіщувачі (зазначена вимога не поширюється на зберігання та знищення рослин роду коноплі для промислових цілей за умови використання насіння, зібраного із сортів рослин, у висушеній соломі яких вмі</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 тетрагідроканнабінолу не перевищував 0,08 відсотка);</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місцем для зважування готової продукції та пожнивних залишків з вагами, які пройшли щорічну перевірку в регіональних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ідрозділах Держспоживстандарту України;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стаціонарним місцем для спалювання нарковмісних рослин та їх пожнивних залишкі</w:t>
      </w:r>
      <w:r w:rsidRPr="004856AC">
        <w:rPr>
          <w:rFonts w:ascii="Verdana" w:eastAsia="Times New Roman" w:hAnsi="Verdana" w:cs="Times New Roman"/>
          <w:color w:val="000000"/>
          <w:sz w:val="21"/>
          <w:lang w:eastAsia="ru-RU"/>
        </w:rPr>
        <w:t>в</w:t>
      </w:r>
      <w:r w:rsidRPr="004856AC">
        <w:rPr>
          <w:rFonts w:ascii="Verdana" w:eastAsia="Times New Roman" w:hAnsi="Verdana" w:cs="Times New Roman"/>
          <w:color w:val="000000"/>
          <w:sz w:val="21"/>
          <w:szCs w:val="21"/>
          <w:lang w:eastAsia="ru-RU"/>
        </w:rPr>
        <w:t>.</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2. Оснащення місць концентрації відкритого типу (об'єктів):</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1) Місця концентрації відкритого типу, які використовуються для обігу прекурсорі</w:t>
      </w:r>
      <w:r w:rsidRPr="004856AC">
        <w:rPr>
          <w:rFonts w:ascii="Verdana" w:eastAsia="Times New Roman" w:hAnsi="Verdana" w:cs="Times New Roman"/>
          <w:color w:val="000000"/>
          <w:sz w:val="21"/>
          <w:lang w:eastAsia="ru-RU"/>
        </w:rPr>
        <w:t>в</w:t>
      </w:r>
      <w:r w:rsidRPr="004856AC">
        <w:rPr>
          <w:rFonts w:ascii="Verdana" w:eastAsia="Times New Roman" w:hAnsi="Verdana" w:cs="Times New Roman"/>
          <w:color w:val="000000"/>
          <w:sz w:val="21"/>
          <w:szCs w:val="21"/>
          <w:lang w:eastAsia="ru-RU"/>
        </w:rPr>
        <w:t> списку 2 таблиці IV Переліку повинні бути обладнані:</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стаціонарною огорожею, що обмежує вільний доступ;</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пропускними пунктами;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освітленням.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2) Місця концентрації відкритого типу, які використовуються для здійснення господарської діяльності, пов'язаної з культивуванням нарковмісних рослин, за винятком рослин роду коноплі для промислових цілей за умови використання насіння, зібраного із сортів рослин, у висушеній соломі яких вмі</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 тетрагідроканнабінолу не перевищував 0,08 відсотка, охороняються і обладнуються:</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спостережними вишками, які встановлюються з урахуванням рельєфу </w:t>
      </w:r>
      <w:r w:rsidRPr="004856AC">
        <w:rPr>
          <w:rFonts w:ascii="Verdana" w:eastAsia="Times New Roman" w:hAnsi="Verdana" w:cs="Times New Roman"/>
          <w:color w:val="000000"/>
          <w:sz w:val="21"/>
          <w:lang w:eastAsia="ru-RU"/>
        </w:rPr>
        <w:t>м</w:t>
      </w:r>
      <w:r w:rsidRPr="004856AC">
        <w:rPr>
          <w:rFonts w:ascii="Verdana" w:eastAsia="Times New Roman" w:hAnsi="Verdana" w:cs="Times New Roman"/>
          <w:color w:val="000000"/>
          <w:sz w:val="21"/>
          <w:szCs w:val="21"/>
          <w:lang w:eastAsia="ru-RU"/>
        </w:rPr>
        <w:t>ісцевості і висоти, що забезпечують всебічний візуальний контроль як між персоналом охорони, так і за територією поля, що охороняється;</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контрольно-сл</w:t>
      </w:r>
      <w:r w:rsidRPr="004856AC">
        <w:rPr>
          <w:rFonts w:ascii="Verdana" w:eastAsia="Times New Roman" w:hAnsi="Verdana" w:cs="Times New Roman"/>
          <w:color w:val="000000"/>
          <w:sz w:val="21"/>
          <w:szCs w:val="21"/>
          <w:lang w:eastAsia="ru-RU"/>
        </w:rPr>
        <w:t>ідовою смугою. Для зручності забезпечення надійної охорони, прийому-здачі поста (маршруту), контролю за проникненням на територію поля сторонніх </w:t>
      </w:r>
      <w:r w:rsidRPr="004856AC">
        <w:rPr>
          <w:rFonts w:ascii="Verdana" w:eastAsia="Times New Roman" w:hAnsi="Verdana" w:cs="Times New Roman"/>
          <w:color w:val="000000"/>
          <w:sz w:val="21"/>
          <w:lang w:eastAsia="ru-RU"/>
        </w:rPr>
        <w:t>осіб</w:t>
      </w:r>
      <w:r w:rsidRPr="004856AC">
        <w:rPr>
          <w:rFonts w:ascii="Verdana" w:eastAsia="Times New Roman" w:hAnsi="Verdana" w:cs="Times New Roman"/>
          <w:color w:val="000000"/>
          <w:sz w:val="21"/>
          <w:szCs w:val="21"/>
          <w:lang w:eastAsia="ru-RU"/>
        </w:rPr>
        <w:t> периметр території поля оборюється та боронується, ширина боронованої смуги повинна складати не менше 1 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обмежувальними пристроями для проїзду сторонніх транспортних засобів;</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покажчиками з написом на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ідходах до території поля, що охороняється, установлюються добре видимі покажчики написом, наприклад: «Прохід (проїзд) заборонено (закрито)», «Об'єкт охороняється».</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3) Місця концентрації відкритого типу, які використовуються для здійснення господарської діяльності, пов'язаної зі зберіганням і знищенням нарковмісних рослин, за винятком рослин роду коноплі для промислових цілей за умови використання насіння, зібраного із сортів рослин, у висушеній соломі яких вмі</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 тетрагідроканнабінолу не перевищував 0,08 відсотка, повинні охоронятися згідно з порядком, що встановлюється МВС, і бути обладнані:</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контрольно-пропускними пунктами;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огорожею, яка по периметру території не повинна мати зовнішніх виступів, заглиблень та зайвих загинів і поворотів, що обмежують спостереження та ускладнюють застосування систем охоронної сигналізації. Висота зовнішньої огорожі території має становити не менше 2 м та не повинна мати лазів, проломів, інших пошкоджень, а також дверей, воріт, хвірток тощо, як</w:t>
      </w:r>
      <w:r w:rsidRPr="004856AC">
        <w:rPr>
          <w:rFonts w:ascii="Verdana" w:eastAsia="Times New Roman" w:hAnsi="Verdana" w:cs="Times New Roman"/>
          <w:color w:val="000000"/>
          <w:sz w:val="21"/>
          <w:szCs w:val="21"/>
          <w:lang w:eastAsia="ru-RU"/>
        </w:rPr>
        <w:t>і не замикаються;</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освітленням. При цьому стовпи ліній електропередач та освітлення не повинні межувати з огорожею, а знаходитися на відстані не менше 2 м від неї;</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місцем для зважування готової продукції та пожнивних залишків з вагами, які пройшли щорічну перевірку в регіональних </w:t>
      </w:r>
      <w:r w:rsidRPr="004856AC">
        <w:rPr>
          <w:rFonts w:ascii="Verdana" w:eastAsia="Times New Roman" w:hAnsi="Verdana" w:cs="Times New Roman"/>
          <w:color w:val="000000"/>
          <w:sz w:val="21"/>
          <w:lang w:eastAsia="ru-RU"/>
        </w:rPr>
        <w:t>п</w:t>
      </w:r>
      <w:r w:rsidRPr="004856AC">
        <w:rPr>
          <w:rFonts w:ascii="Verdana" w:eastAsia="Times New Roman" w:hAnsi="Verdana" w:cs="Times New Roman"/>
          <w:color w:val="000000"/>
          <w:sz w:val="21"/>
          <w:szCs w:val="21"/>
          <w:lang w:eastAsia="ru-RU"/>
        </w:rPr>
        <w:t>ідрозділах Держспоживстандарту України;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xml:space="preserve">стаціонарним місцем для спалювання нарковмісних рослин, за винятком рослин роду коноплі для промислових цілей за умови використання насіння, зібраного із </w:t>
      </w:r>
      <w:r w:rsidRPr="004856AC">
        <w:rPr>
          <w:rFonts w:ascii="Verdana" w:eastAsia="Times New Roman" w:hAnsi="Verdana" w:cs="Times New Roman"/>
          <w:color w:val="000000"/>
          <w:sz w:val="21"/>
          <w:szCs w:val="21"/>
          <w:lang w:eastAsia="ru-RU"/>
        </w:rPr>
        <w:lastRenderedPageBreak/>
        <w:t>сортів рослин, у висушеній соломі яких вмі</w:t>
      </w:r>
      <w:r w:rsidRPr="004856AC">
        <w:rPr>
          <w:rFonts w:ascii="Verdana" w:eastAsia="Times New Roman" w:hAnsi="Verdana" w:cs="Times New Roman"/>
          <w:color w:val="000000"/>
          <w:sz w:val="21"/>
          <w:lang w:eastAsia="ru-RU"/>
        </w:rPr>
        <w:t>ст</w:t>
      </w:r>
      <w:r w:rsidRPr="004856AC">
        <w:rPr>
          <w:rFonts w:ascii="Verdana" w:eastAsia="Times New Roman" w:hAnsi="Verdana" w:cs="Times New Roman"/>
          <w:color w:val="000000"/>
          <w:sz w:val="21"/>
          <w:szCs w:val="21"/>
          <w:lang w:eastAsia="ru-RU"/>
        </w:rPr>
        <w:t>тетрагідроканнабінолу не перевищував 0,08 відсотка та їх пожнивних залишків.</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Директор Департаменту</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формування політики щодо</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lang w:eastAsia="ru-RU"/>
        </w:rPr>
        <w:t>п</w:t>
      </w:r>
      <w:r w:rsidRPr="004856AC">
        <w:rPr>
          <w:rFonts w:ascii="Verdana" w:eastAsia="Times New Roman" w:hAnsi="Verdana" w:cs="Times New Roman"/>
          <w:b/>
          <w:bCs/>
          <w:color w:val="000000"/>
          <w:sz w:val="21"/>
          <w:szCs w:val="21"/>
          <w:lang w:eastAsia="ru-RU"/>
        </w:rPr>
        <w:t>ідконтрольних Міністрові</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органів влади та моніторингу МВС                 В.Є. Боднар</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ПОЯСНЮВАЛЬНА ЗАПИСКА</w:t>
      </w:r>
    </w:p>
    <w:p w:rsidR="004856AC" w:rsidRPr="004856AC" w:rsidRDefault="004856AC" w:rsidP="004856A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до проекту наказу МВС «Про затвердження Вимог до об'єктів і приміщень, призначених для здійснення діяльності з обігу наркотичних   засобів, психотропних речовин, прекурсорів та зберігання вилучених з </w:t>
      </w:r>
      <w:r w:rsidRPr="004856AC">
        <w:rPr>
          <w:rFonts w:ascii="Verdana" w:eastAsia="Times New Roman" w:hAnsi="Verdana" w:cs="Times New Roman"/>
          <w:b/>
          <w:bCs/>
          <w:color w:val="000000"/>
          <w:sz w:val="21"/>
          <w:lang w:eastAsia="ru-RU"/>
        </w:rPr>
        <w:t>незаконного</w:t>
      </w:r>
      <w:r w:rsidRPr="004856AC">
        <w:rPr>
          <w:rFonts w:ascii="Verdana" w:eastAsia="Times New Roman" w:hAnsi="Verdana" w:cs="Times New Roman"/>
          <w:b/>
          <w:bCs/>
          <w:color w:val="000000"/>
          <w:sz w:val="21"/>
          <w:szCs w:val="21"/>
          <w:lang w:eastAsia="ru-RU"/>
        </w:rPr>
        <w:t> обігу таких засобів і речовин»</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Обґрунтування необхідності прийняття акта</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Проект наказу МВС «Про затвердження Вимог до об'єктів і приміщень, призначених для здійснення діяльності з обігу наркотичних засобів, психотропних речовин, прекурсорів та зберігання вилучених з незаконного обігу таких засобів і речовин» (далі – проект наказу) розроблено Національною поліцією України відповідно до Законів України «Пронаркотичні засоби, психотропні речовини і прекурсори», «Про Національну поліцію» та з метою вдосконалення механізму видачі Національною поліцією України дозволу на використання об'єктів і приміщень, призначених для здійснення діяльності з обігу наркотичних засобів, психотропних речовин і прекурсорів, з метою приведення нормативно-правових актів МВС, які регулюють діяльн</w:t>
      </w:r>
      <w:r w:rsidRPr="004856AC">
        <w:rPr>
          <w:rFonts w:ascii="Verdana" w:eastAsia="Times New Roman" w:hAnsi="Verdana" w:cs="Times New Roman"/>
          <w:color w:val="000000"/>
          <w:sz w:val="21"/>
          <w:szCs w:val="21"/>
          <w:lang w:eastAsia="ru-RU"/>
        </w:rPr>
        <w:t>ість Національної поліції України, </w:t>
      </w:r>
      <w:r w:rsidRPr="004856AC">
        <w:rPr>
          <w:rFonts w:ascii="Verdana" w:eastAsia="Times New Roman" w:hAnsi="Verdana" w:cs="Times New Roman"/>
          <w:color w:val="000000"/>
          <w:sz w:val="21"/>
          <w:lang w:eastAsia="ru-RU"/>
        </w:rPr>
        <w:t>у</w:t>
      </w:r>
      <w:r w:rsidRPr="004856AC">
        <w:rPr>
          <w:rFonts w:ascii="Verdana" w:eastAsia="Times New Roman" w:hAnsi="Verdana" w:cs="Times New Roman"/>
          <w:color w:val="000000"/>
          <w:sz w:val="21"/>
          <w:szCs w:val="21"/>
          <w:lang w:eastAsia="ru-RU"/>
        </w:rPr>
        <w:t> відповідність до законодавства.</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Мета і шляхи її досягнення</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Проект наказу розроблено з метою приведення нормативно-правових актів МВС, які регулюють діяльність Національної поліції України, </w:t>
      </w:r>
      <w:r w:rsidRPr="004856AC">
        <w:rPr>
          <w:rFonts w:ascii="Verdana" w:eastAsia="Times New Roman" w:hAnsi="Verdana" w:cs="Times New Roman"/>
          <w:color w:val="000000"/>
          <w:sz w:val="21"/>
          <w:lang w:eastAsia="ru-RU"/>
        </w:rPr>
        <w:t>у</w:t>
      </w:r>
      <w:r w:rsidRPr="004856AC">
        <w:rPr>
          <w:rFonts w:ascii="Verdana" w:eastAsia="Times New Roman" w:hAnsi="Verdana" w:cs="Times New Roman"/>
          <w:color w:val="000000"/>
          <w:sz w:val="21"/>
          <w:szCs w:val="21"/>
          <w:lang w:eastAsia="ru-RU"/>
        </w:rPr>
        <w:t> відповідність до законодавства.</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Правові аспекти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У цій сфері </w:t>
      </w:r>
      <w:r w:rsidRPr="004856AC">
        <w:rPr>
          <w:rFonts w:ascii="Verdana" w:eastAsia="Times New Roman" w:hAnsi="Verdana" w:cs="Times New Roman"/>
          <w:color w:val="000000"/>
          <w:sz w:val="21"/>
          <w:lang w:eastAsia="ru-RU"/>
        </w:rPr>
        <w:t>правового</w:t>
      </w:r>
      <w:r w:rsidRPr="004856AC">
        <w:rPr>
          <w:rFonts w:ascii="Verdana" w:eastAsia="Times New Roman" w:hAnsi="Verdana" w:cs="Times New Roman"/>
          <w:color w:val="000000"/>
          <w:sz w:val="21"/>
          <w:szCs w:val="21"/>
          <w:lang w:eastAsia="ru-RU"/>
        </w:rPr>
        <w:t> регулювання діють Конституція України, Закони України «Про Національну поліцію», «Про наркотичні засоби, психотропні речовини і прекурсори», «Про заходи протидії незаконному обігу наркотичних засобів, психотропних речовин і прекурсорів та зловживанню ними», інші акти законодавства.</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Фінансово-економічне обґрунтування прийняття акта</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Реалізація проекту акта не потребуватиме додаткових фінансових витрат з Державного бюджету України.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5. Позиція заінтересованих органі</w:t>
      </w:r>
      <w:r w:rsidRPr="004856AC">
        <w:rPr>
          <w:rFonts w:ascii="Verdana" w:eastAsia="Times New Roman" w:hAnsi="Verdana" w:cs="Times New Roman"/>
          <w:color w:val="000000"/>
          <w:sz w:val="21"/>
          <w:lang w:eastAsia="ru-RU"/>
        </w:rPr>
        <w:t>в</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Проект акта погоджено Національною поліцією України та потребує погодження з Міністерством охорони здоров'я України, Міністерством фінансів України, Міністерством економічного розвитку і торгі</w:t>
      </w:r>
      <w:r w:rsidRPr="004856AC">
        <w:rPr>
          <w:rFonts w:ascii="Verdana" w:eastAsia="Times New Roman" w:hAnsi="Verdana" w:cs="Times New Roman"/>
          <w:color w:val="000000"/>
          <w:sz w:val="21"/>
          <w:lang w:eastAsia="ru-RU"/>
        </w:rPr>
        <w:t>вл</w:t>
      </w:r>
      <w:r w:rsidRPr="004856AC">
        <w:rPr>
          <w:rFonts w:ascii="Verdana" w:eastAsia="Times New Roman" w:hAnsi="Verdana" w:cs="Times New Roman"/>
          <w:color w:val="000000"/>
          <w:sz w:val="21"/>
          <w:szCs w:val="21"/>
          <w:lang w:eastAsia="ru-RU"/>
        </w:rPr>
        <w:t>і України, Міністерством житлового розвитку, будівництва та житлово-комунального господарства України, Службою безпеки України та Державною регуляторною службою України.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Регіональний аспект</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Проект акта не стосується питання розвитку </w:t>
      </w:r>
      <w:r w:rsidRPr="004856AC">
        <w:rPr>
          <w:rFonts w:ascii="Verdana" w:eastAsia="Times New Roman" w:hAnsi="Verdana" w:cs="Times New Roman"/>
          <w:color w:val="000000"/>
          <w:sz w:val="21"/>
          <w:lang w:eastAsia="ru-RU"/>
        </w:rPr>
        <w:t>адм</w:t>
      </w:r>
      <w:r w:rsidRPr="004856AC">
        <w:rPr>
          <w:rFonts w:ascii="Verdana" w:eastAsia="Times New Roman" w:hAnsi="Verdana" w:cs="Times New Roman"/>
          <w:color w:val="000000"/>
          <w:sz w:val="21"/>
          <w:szCs w:val="21"/>
          <w:lang w:eastAsia="ru-RU"/>
        </w:rPr>
        <w:t>іністративно-територіальних одиниць.</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61. Запобігання дискримінації</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lastRenderedPageBreak/>
        <w:t>У</w:t>
      </w:r>
      <w:r w:rsidRPr="004856AC">
        <w:rPr>
          <w:rFonts w:ascii="Verdana" w:eastAsia="Times New Roman" w:hAnsi="Verdana" w:cs="Times New Roman"/>
          <w:color w:val="000000"/>
          <w:sz w:val="21"/>
          <w:szCs w:val="21"/>
          <w:lang w:eastAsia="ru-RU"/>
        </w:rPr>
        <w:t> </w:t>
      </w:r>
      <w:r w:rsidRPr="004856AC">
        <w:rPr>
          <w:rFonts w:ascii="Verdana" w:eastAsia="Times New Roman" w:hAnsi="Verdana" w:cs="Times New Roman"/>
          <w:color w:val="000000"/>
          <w:sz w:val="21"/>
          <w:lang w:eastAsia="ru-RU"/>
        </w:rPr>
        <w:t>проект</w:t>
      </w:r>
      <w:r w:rsidRPr="004856AC">
        <w:rPr>
          <w:rFonts w:ascii="Verdana" w:eastAsia="Times New Roman" w:hAnsi="Verdana" w:cs="Times New Roman"/>
          <w:color w:val="000000"/>
          <w:sz w:val="21"/>
          <w:szCs w:val="21"/>
          <w:lang w:eastAsia="ru-RU"/>
        </w:rPr>
        <w:t>і акта відсутні положення, які містять ознаки дискримінації. Проект акта не потребує проведення громадської антидискримінаційної експертизи.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Запобігання корупції</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У</w:t>
      </w:r>
      <w:r w:rsidRPr="004856AC">
        <w:rPr>
          <w:rFonts w:ascii="Verdana" w:eastAsia="Times New Roman" w:hAnsi="Verdana" w:cs="Times New Roman"/>
          <w:color w:val="000000"/>
          <w:sz w:val="21"/>
          <w:szCs w:val="21"/>
          <w:lang w:eastAsia="ru-RU"/>
        </w:rPr>
        <w:t> </w:t>
      </w:r>
      <w:r w:rsidRPr="004856AC">
        <w:rPr>
          <w:rFonts w:ascii="Verdana" w:eastAsia="Times New Roman" w:hAnsi="Verdana" w:cs="Times New Roman"/>
          <w:color w:val="000000"/>
          <w:sz w:val="21"/>
          <w:lang w:eastAsia="ru-RU"/>
        </w:rPr>
        <w:t>проект</w:t>
      </w:r>
      <w:r w:rsidRPr="004856AC">
        <w:rPr>
          <w:rFonts w:ascii="Verdana" w:eastAsia="Times New Roman" w:hAnsi="Verdana" w:cs="Times New Roman"/>
          <w:color w:val="000000"/>
          <w:sz w:val="21"/>
          <w:szCs w:val="21"/>
          <w:lang w:eastAsia="ru-RU"/>
        </w:rPr>
        <w:t>і акта відсутні правила і процедури, які можуть містити ризики вчинення корупційних правопорушень. Проект акта не потребує проведення громадської антикорупційної експертизи.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Громадське обговорення</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Проект акта потребує проведення консультацій з громадськістю.</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Позиція </w:t>
      </w:r>
      <w:r w:rsidRPr="004856AC">
        <w:rPr>
          <w:rFonts w:ascii="Verdana" w:eastAsia="Times New Roman" w:hAnsi="Verdana" w:cs="Times New Roman"/>
          <w:color w:val="000000"/>
          <w:sz w:val="21"/>
          <w:lang w:eastAsia="ru-RU"/>
        </w:rPr>
        <w:t>соц</w:t>
      </w:r>
      <w:r w:rsidRPr="004856AC">
        <w:rPr>
          <w:rFonts w:ascii="Verdana" w:eastAsia="Times New Roman" w:hAnsi="Verdana" w:cs="Times New Roman"/>
          <w:color w:val="000000"/>
          <w:sz w:val="21"/>
          <w:szCs w:val="21"/>
          <w:lang w:eastAsia="ru-RU"/>
        </w:rPr>
        <w:t>іальних партнерів</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Проект акта не стосується </w:t>
      </w:r>
      <w:r w:rsidRPr="004856AC">
        <w:rPr>
          <w:rFonts w:ascii="Verdana" w:eastAsia="Times New Roman" w:hAnsi="Verdana" w:cs="Times New Roman"/>
          <w:color w:val="000000"/>
          <w:sz w:val="21"/>
          <w:lang w:eastAsia="ru-RU"/>
        </w:rPr>
        <w:t>соц</w:t>
      </w:r>
      <w:r w:rsidRPr="004856AC">
        <w:rPr>
          <w:rFonts w:ascii="Verdana" w:eastAsia="Times New Roman" w:hAnsi="Verdana" w:cs="Times New Roman"/>
          <w:color w:val="000000"/>
          <w:sz w:val="21"/>
          <w:szCs w:val="21"/>
          <w:lang w:eastAsia="ru-RU"/>
        </w:rPr>
        <w:t>іально-трудової сфери.</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Оцінка регуляторного впливу</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Проект є регуляторним актом.</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101. Вплив реалізації акта на ринок праці</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Реалізація акта не впливатиме на ринок праці.</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Прогноз результаті</w:t>
      </w:r>
      <w:r w:rsidRPr="004856AC">
        <w:rPr>
          <w:rFonts w:ascii="Verdana" w:eastAsia="Times New Roman" w:hAnsi="Verdana" w:cs="Times New Roman"/>
          <w:color w:val="000000"/>
          <w:sz w:val="21"/>
          <w:lang w:eastAsia="ru-RU"/>
        </w:rPr>
        <w:t>в</w:t>
      </w:r>
    </w:p>
    <w:p w:rsidR="004856AC" w:rsidRPr="004856AC" w:rsidRDefault="004856AC" w:rsidP="004856A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lang w:eastAsia="ru-RU"/>
        </w:rPr>
        <w:t>Видання наказу МВС «Про затвердження Вимог до об'єктів і приміщень, призначених для здійснення діяльності з обігу наркотичних засобів, психотропних речовин, прекурсорів та зберігання вилучених з незаконного обігу таких засобів і речовин» забезпечить приведення Національною поліцією України відповідно до Законів України «Про наркотичні засоби</w:t>
      </w:r>
      <w:r w:rsidRPr="004856AC">
        <w:rPr>
          <w:rFonts w:ascii="Verdana" w:eastAsia="Times New Roman" w:hAnsi="Verdana" w:cs="Times New Roman"/>
          <w:color w:val="000000"/>
          <w:sz w:val="21"/>
          <w:szCs w:val="21"/>
          <w:lang w:eastAsia="ru-RU"/>
        </w:rPr>
        <w:t>,</w:t>
      </w:r>
      <w:r w:rsidRPr="004856AC">
        <w:rPr>
          <w:rFonts w:ascii="Verdana" w:eastAsia="Times New Roman" w:hAnsi="Verdana" w:cs="Times New Roman"/>
          <w:color w:val="000000"/>
          <w:sz w:val="21"/>
          <w:lang w:eastAsia="ru-RU"/>
        </w:rPr>
        <w:t>психотропні речовини і прекурсори», «Про Національну поліцію» вдосконалення механізму видачі Національною поліцією України дозволу на використання об'єктів і приміщень, призначених для здійснення діяльності з обігу наркотичних засобів, психотропних речовин і прекурсорів, з метою приведення нормативно-правових актів МВС, які регулюють діяльність Національної поліц</w:t>
      </w:r>
      <w:r w:rsidRPr="004856AC">
        <w:rPr>
          <w:rFonts w:ascii="Verdana" w:eastAsia="Times New Roman" w:hAnsi="Verdana" w:cs="Times New Roman"/>
          <w:color w:val="000000"/>
          <w:sz w:val="21"/>
          <w:szCs w:val="21"/>
          <w:lang w:eastAsia="ru-RU"/>
        </w:rPr>
        <w:t>ії України, у відповідність до законодавства.</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Голова Національної поліції України           Х. Деканоідзе</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 </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b/>
          <w:bCs/>
          <w:color w:val="000000"/>
          <w:sz w:val="21"/>
          <w:szCs w:val="21"/>
          <w:lang w:eastAsia="ru-RU"/>
        </w:rPr>
        <w:t>____._________ 2016 року</w:t>
      </w:r>
    </w:p>
    <w:p w:rsidR="004856AC" w:rsidRPr="004856AC" w:rsidRDefault="004856AC" w:rsidP="004856AC">
      <w:pPr>
        <w:shd w:val="clear" w:color="auto" w:fill="F8F8F6"/>
        <w:spacing w:after="0" w:line="240" w:lineRule="auto"/>
        <w:rPr>
          <w:rFonts w:ascii="Times New Roman" w:eastAsia="Times New Roman" w:hAnsi="Times New Roman" w:cs="Times New Roman"/>
          <w:color w:val="000000"/>
          <w:sz w:val="24"/>
          <w:szCs w:val="24"/>
          <w:lang w:eastAsia="ru-RU"/>
        </w:rPr>
      </w:pPr>
      <w:r w:rsidRPr="004856AC">
        <w:rPr>
          <w:rFonts w:ascii="Verdana" w:eastAsia="Times New Roman" w:hAnsi="Verdana" w:cs="Times New Roman"/>
          <w:color w:val="000000"/>
          <w:sz w:val="21"/>
          <w:szCs w:val="21"/>
          <w:lang w:eastAsia="ru-RU"/>
        </w:rPr>
        <w:t> </w:t>
      </w:r>
    </w:p>
    <w:p w:rsidR="002133B7" w:rsidRDefault="002133B7"/>
    <w:sectPr w:rsidR="002133B7" w:rsidSect="00213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4856AC"/>
    <w:rsid w:val="002133B7"/>
    <w:rsid w:val="003C7B71"/>
    <w:rsid w:val="00485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4856AC"/>
  </w:style>
  <w:style w:type="character" w:styleId="a3">
    <w:name w:val="Hyperlink"/>
    <w:basedOn w:val="a0"/>
    <w:uiPriority w:val="99"/>
    <w:semiHidden/>
    <w:unhideWhenUsed/>
    <w:rsid w:val="004856AC"/>
    <w:rPr>
      <w:color w:val="0000FF"/>
      <w:u w:val="single"/>
    </w:rPr>
  </w:style>
</w:styles>
</file>

<file path=word/webSettings.xml><?xml version="1.0" encoding="utf-8"?>
<w:webSettings xmlns:r="http://schemas.openxmlformats.org/officeDocument/2006/relationships" xmlns:w="http://schemas.openxmlformats.org/wordprocessingml/2006/main">
  <w:divs>
    <w:div w:id="1450776070">
      <w:bodyDiv w:val="1"/>
      <w:marLeft w:val="0"/>
      <w:marRight w:val="0"/>
      <w:marTop w:val="0"/>
      <w:marBottom w:val="0"/>
      <w:divBdr>
        <w:top w:val="none" w:sz="0" w:space="0" w:color="auto"/>
        <w:left w:val="none" w:sz="0" w:space="0" w:color="auto"/>
        <w:bottom w:val="none" w:sz="0" w:space="0" w:color="auto"/>
        <w:right w:val="none" w:sz="0" w:space="0" w:color="auto"/>
      </w:divBdr>
      <w:divsChild>
        <w:div w:id="76534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gal@antidrug.gov.ua" TargetMode="External"/><Relationship Id="rId4" Type="http://schemas.openxmlformats.org/officeDocument/2006/relationships/hyperlink" Target="http://www.np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5056</Words>
  <Characters>28821</Characters>
  <Application>Microsoft Office Word</Application>
  <DocSecurity>0</DocSecurity>
  <Lines>240</Lines>
  <Paragraphs>67</Paragraphs>
  <ScaleCrop>false</ScaleCrop>
  <Company>Microsoft</Company>
  <LinksUpToDate>false</LinksUpToDate>
  <CharactersWithSpaces>33810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Call4</dc:creator>
  <cp:lastModifiedBy>Call4</cp:lastModifiedBy>
  <cp:revision>1</cp:revision>
  <dcterms:created xsi:type="dcterms:W3CDTF">2018-02-06T10:01:00Z</dcterms:created>
  <dcterms:modified xsi:type="dcterms:W3CDTF">2018-02-06T10:07:00Z</dcterms:modified>
</cp:coreProperties>
</file>