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Повідомлення про оприлюднення проекту постанови Кабінету 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ів України «Про внесення змін до постанов Кабінету Міністрів України від 30 січня 2013 р. № 55 та від 18 листопада 2015 р. № 960» та аналізу його регуляторного впливу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виконання вимог статті 9 Закону України «Про засади державної регуляторної політики у сфері господарської діяльності» (далі – Закон) Національна поліція України повідомляє про оприлюднення проекту постанови Кабінету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 «Про внесення змін до постанов Кабінету Міністрів України від 30 січня 2013 р. № 55 та від 18 листопада 2015 р. № 960» (далі – проект акта) та аналізу його регуляторного впливу з метою отримання зауважень та пропозицій.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Проектом акта запропоновано внесення змін до постанов Кабінету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 від 30 січня 2013 року № 55 «Про затвердження Умов охорони небезпечних і цінних вантажів під час їх перевезення автомобільним транспортом та переліку таких вантажів» та від 18 листопада 2015 р. № 960 «Про затвердження Ліцензійних умов провадження охоронної діяльності».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 акта розроблено на виконання пункту 3.5 Плану основних заходів Національної поліції України на 2016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ік від 28.12.2015 № 1356/01/25-2015, з метою підвищення рівня захисту життя та здоров’я працівників Національної поліції України та інших суб’єктів господарювання при здійсненні перевезення небезпечних і цінних вантажів.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Зауваження та пропозиції до зазначеного проекту акта та аналізу регуляторного впливу від фізичних та юридичних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осіб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їх об’єднань приймаються протягом місяця з дати опублікування за електронною адресою Національної поліції України: </w:t>
      </w:r>
      <w:hyperlink r:id="rId4" w:tgtFrame="_blank" w:history="1">
        <w:r w:rsidRPr="00363BDC">
          <w:rPr>
            <w:rFonts w:ascii="Verdana" w:eastAsia="Times New Roman" w:hAnsi="Verdana" w:cs="Times New Roman"/>
            <w:color w:val="000000"/>
            <w:sz w:val="21"/>
            <w:lang w:eastAsia="ru-RU"/>
          </w:rPr>
          <w:t>office@guard.np.gov.ua</w:t>
        </w:r>
      </w:hyperlink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Відповідно до частини першої статті 20 Закону зауваження та пропозиції щодо оприлюдненого проекту регуляторного акта та відповідного аналізу регуляторного впливу надаються також на адресу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 Д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ержавної регуляторної служби України: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поштову: вул. Арсенальна, 9/11, м. Київ, 01011;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електронну: </w:t>
      </w:r>
      <w:hyperlink r:id="rId5" w:history="1">
        <w:r w:rsidRPr="00363BDC">
          <w:rPr>
            <w:rFonts w:ascii="Verdana" w:eastAsia="Times New Roman" w:hAnsi="Verdana" w:cs="Times New Roman"/>
            <w:color w:val="000000"/>
            <w:sz w:val="21"/>
            <w:lang w:eastAsia="ru-RU"/>
          </w:rPr>
          <w:t>inform@dkrp.gov.ua</w:t>
        </w:r>
      </w:hyperlink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Контактна особа: Пазиніч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Св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ітлана Миколаївна – ДПО, т. (044) 206-39-23.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КАБІНЕТ 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ІВ УКРАЇНИ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О С Т А Н О В А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                      2017 р. № ____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Киї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 внесення змін до постанов Кабінету 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ів України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 30 січня 2013 р. № 55 та від 18 листопада 2015 р. № 960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Кабінет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  п о с т а н о в л я є: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Унести до постанов Кабінету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 від 30 січня 2013 р. № 55 «Про затвердження Умов охорони небезпечних і цінних вантажів під час їх перевезення автомобільним транспортом та переліку таких вантажів» (Офіційний вісник України, 2013 р., № 9, ст. 337) та від 18 листопада 2015 р. № 960 «Про затвердження Ліцензійних умов провадження охоронної діяльності» (Офіційний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існик України, 2015 р., № 94, ст. 3221) зміни, що додаються.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Прем'єр-міні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України                           В. ГРОЙСМАН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9"/>
      <w:bookmarkEnd w:id="0"/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ЗАТВЕРДЖЕНО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постановою Кабінету 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ів України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 ___. ___________2017 р. № _____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ЗМІНИ, 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що вносяться до постанов Кабінету 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ів України 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від 30 січня 2013 р. № 55 та від 18 листопада 2015 № 960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0"/>
      <w:bookmarkEnd w:id="1"/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В Умовах охорони небезпечних і цінних вантажів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 час їх перевезення автомобільним транспортом, затверджених постановою Кабінету Міністрів України від 30 січня 2013 р. № 55: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ідпункти 2 і 3 пункту 6 викласти в такій редакції: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«2) автомобільного транспорту, що має клас захисту не нижче третього згідно з ДСТУ 3975-2000 «Захист панцеровий спеціалізованих автомобілів. Загальні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ічні вимоги» (у разі охорони грошей, дорогоцінних металів та дорогоцінного каміння) та обладнаний відеореєстратором;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системи відстеження рухомих об’єктів з передачею сигналу тривожного сповіщення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до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пункту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централізованого спостереження територіальних органів Національної поліції або інших суб’єктів охоронної діяльності.»;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ідпункт 3 пункту 9 викласти в такій редакції:</w:t>
      </w:r>
      <w:bookmarkStart w:id="2" w:name="n30"/>
      <w:bookmarkStart w:id="3" w:name="n32"/>
      <w:bookmarkEnd w:id="2"/>
      <w:bookmarkEnd w:id="3"/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«3) забезпечує взаємодію з правоохоронними органами, визначає порядок дій персоналу охорони в разі виникнення або загрози виникнення надзвичайних ситуацій на маршрутах, учинення протиправних посягань відносно транспорту реагування або персоналу охорони, небезпечних і цінних вантажів, що перевозяться, та оперативного повідомлення територіальних органів Національної поліції».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Абзаци третій і четвертий Ліцензійних умов провадження охоронної діяльності, затверджених постановою Кабінету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 від 18 листопада 2015 р. № 960, викласти в такій редакції: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«автомобільного транспорту, що має клас захисту не нижче третього згідно з ДСТУ 3975-2000 «Захист панцеровий спеціалізованих автомобілів. Загальні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ічні вимоги» (у разі охорони грошей, дорогоцінних металів та дорогоцінного каміння) та обладнаний відеореєстратором;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системи відстеження рухомих об’єктів з передачею сигналу тривожного сповіщення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до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пункту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централізованого спостереження територіальних органів Національної поліції або інших суб’єктів охоронної діяльності.</w:t>
      </w:r>
      <w:bookmarkStart w:id="4" w:name="n334"/>
      <w:bookmarkEnd w:id="4"/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АНАЛІ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ВПЛИВУ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проекту постанови Кабінету Міні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ів України «Про внесення змін до постанов Кабінету Міністрів України від 30 січня 2013 р. № 55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та від 18 листопада 2015 р. № 960»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1. Визначення проблеми, яка буде розв’язана шляхом державного регулювання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даний час умовами охорони небезпечних і цінних вантажів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ід час перевезень автомобільним транспортом передбачено залучення до таких перевезень автомобільного транспорту, що має клас захисту не нижче другого згідно з ДСТУ 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3975-2000 «Захист панцеровий спеціалізованих автомобілів. Загальні технічні вимоги» (у разі охорони грошей, дорогоцінних металів та дорогоцінного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каміння).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сьогодні, ураховуючи суспільно-політичну ситуацію на сході держави, спостерігається зростання незаконного обігу вогнепальної зброї військового призначення, яка використовується при нападах на працівників охорони, задіяних на маршрутах перевезення цінних вантажів, як об’єктів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ідвищеної категорії ризику.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 офіційними даними, з початку 2016 року було вчинено 87 нападів на працівників Національної поліції України та інших суб’єктів господарювання при здійсненні ними перевезення небезпечних і цінних вантажів. Загальна сума збитків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 незаконних дій злочинців становить більше 95,3 млн. грн.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Одним із шляхів захисту життя та здоров’я громадян та працівників суб’єктів господарювання в галузі охоронної діяльності від злочинних посягань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 час перевезень небезпечних і цінних вантажів є їх належне нормативне забезпечення.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Обов'язком держави з реалізації права на життя вважається зобов'язання держави створювати належні умови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для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реал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ізації цього права.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Завдання щодо захисту цих основоположних свобод та власності від злочинних посягань Законом України «Про Національну поліцію» покладені на поліцію.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Таким чином, установлення вимоги до автомобільного транспорту щодо класу захисту не нижче третього (згідно з ДСТУ 3975-2000), обладнання його засобами відеофіксації подій,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ідключення систем відстеження рухомих об’єктів до пунктів централізованого спостереження територіальних органів Національної поліції України або інших суб’єктів охоронної діяльності дозволить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ідвищити рівень захисту життя та здоров’я працівників Національної поліції України, та інших суб’єктів господарювання при здійсненні перевезення небезпечних і цінних вантажів.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 Визначення цілей 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державного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регулювання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Метою прийняття проекту акта є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ідвищення рівня захисту життя та здоров’я працівників Національної поліції України та інших суб’єктів господарювання при здійсненні перевезення небезпечних і цінних вантажів.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 Визначення та оцінка альтернативних способів досягнення зазначених цілей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 результатами аналізу встановлено два можливі способи досягнення мети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державного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регулювання, а саме: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залишення існуючого стану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правового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регулювання без змін;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прийняття проекту постанови Кабінету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 «Про внесення змін до постанов Кабінету Міністрів України від 30 січня 2013 р. № 55 та від 18 листопада 2015 р. № 960»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Перший спосіб є неприйнятним, оскільки в такій ситуації не враховується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значне зростання кількості вогнепальної зброї, яка може бути використана при нападах на працівників охорони, задіяних на маршрутах перевезення цінних вантажів, як об’єктах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ідвищеної категорії ризику та, як наслідок, загибелі людей в автомобільному транспорті, який не в змозі забезпечити відповідний рівень захисту (не нижче третього класу захисту), передбачений ДСТУ 3975-2000.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Також залишення першого способу не забезпечить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івність прав та інтересів суб’єктів господарювання, що вже наявні в галузі перевезень цінних вантажів.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Тобто на даний час склалася ситуація, що потребує змін.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Другий спосіб є єдиним прийнятним для досягнення мети державного регулювання, оскільки прийняття цього проекту регуляторного акта відповідає принципам державної регуляторної політики, а також спрямоване на посилення дотримання виконання прямих конституційних норм.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Перевагами прийняття регуляторного акта також стане уніфікація вимог щодо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ідвищення рівня безпеки при здійсненні перевезень небезпечних та цінних вантажів з вимогами, що стосуються міжбанківських перевезень коштів і цінних паперів.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4. Описання механізму, який пропонується застосувати для розв’язання визначеної проблеми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Проектом акта передбачається розв’язання зазначеної проблеми шляхом дообладнання панцерованого автотранспорту 2-го класу захисту до 3-го класу захисту відповідно до вимог, що передбачені ДСТУ 3975-2000 «Захист панцеровий спеціалізованих автомобілів. Загальні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техн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ічні вимоги».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5. Обґрунтування можливості досягнення визначених цілей 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у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раз</w:t>
      </w: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 прийняття регуляторного акта</w:t>
      </w:r>
    </w:p>
    <w:p w:rsidR="00363BDC" w:rsidRPr="00363BDC" w:rsidRDefault="00363BDC" w:rsidP="00363BDC">
      <w:pPr>
        <w:shd w:val="clear" w:color="auto" w:fill="F8F8F6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Прийняття проекту акта забезпечить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ідвищення рівня захисту життя та здоров’я працівників Національної поліції України та інших суб’єктів господарювання при здійсненні перевезення небезпечних і цінних вантажів. Характеристикою повної або часткової компенсації можливої шкоди у разі настання очікуваних наслідків дії акта буде збереження життя та здоров’я працівників суб’єктів господарювання в галузі охоронної діяльності.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6. Очікувані результати прийняття акта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3493"/>
        <w:gridCol w:w="3686"/>
      </w:tblGrid>
      <w:tr w:rsidR="00363BDC" w:rsidRPr="00363BDC" w:rsidTr="00363BDC">
        <w:trPr>
          <w:jc w:val="center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Вигоди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Витрати</w:t>
            </w:r>
          </w:p>
        </w:tc>
      </w:tr>
      <w:tr w:rsidR="00363BDC" w:rsidRPr="00363BDC" w:rsidTr="00363BDC">
        <w:trPr>
          <w:jc w:val="center"/>
        </w:trPr>
        <w:tc>
          <w:tcPr>
            <w:tcW w:w="7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Сфера інтересів держави</w:t>
            </w:r>
          </w:p>
        </w:tc>
      </w:tr>
      <w:tr w:rsidR="00363BDC" w:rsidRPr="00363BDC" w:rsidTr="00363BDC">
        <w:trPr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Законодавче врегулювання та </w:t>
            </w:r>
            <w:r w:rsidRPr="00363BDC">
              <w:rPr>
                <w:rFonts w:ascii="Verdana" w:eastAsia="Times New Roman" w:hAnsi="Verdana" w:cs="Times New Roman"/>
                <w:sz w:val="21"/>
                <w:lang w:eastAsia="ru-RU"/>
              </w:rPr>
              <w:t>п</w:t>
            </w: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ідвищення рівня захисту життя та здоров’я працівників суб’єктів господарювання в галузі охоронної діяльності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Додаткові витрати з державного та місцевих бюджетів </w:t>
            </w:r>
            <w:r w:rsidRPr="00363BDC">
              <w:rPr>
                <w:rFonts w:ascii="Verdana" w:eastAsia="Times New Roman" w:hAnsi="Verdana" w:cs="Times New Roman"/>
                <w:sz w:val="21"/>
                <w:lang w:eastAsia="ru-RU"/>
              </w:rPr>
              <w:t>в</w:t>
            </w: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ідсутні</w:t>
            </w:r>
          </w:p>
        </w:tc>
      </w:tr>
      <w:tr w:rsidR="00363BDC" w:rsidRPr="00363BDC" w:rsidTr="00363BDC">
        <w:trPr>
          <w:jc w:val="center"/>
        </w:trPr>
        <w:tc>
          <w:tcPr>
            <w:tcW w:w="7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Сфера інтересів суб’єктів господарювання</w:t>
            </w:r>
          </w:p>
        </w:tc>
      </w:tr>
      <w:tr w:rsidR="00363BDC" w:rsidRPr="00363BDC" w:rsidTr="00363BDC">
        <w:trPr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Зменшення випадків загибелі працівників цих суб’єктів, зниження ризиків втрати цінностей при здійсненні перевезень</w:t>
            </w:r>
          </w:p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Додаткові витрати суб’єктів господарювання будуть мати місце для переобладнання панцерованого автотранспорту 2-го класу на </w:t>
            </w: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3-й клас захисту згідно з ДСТУ 3975-2000, обладнання його засобами відеофіксації подій або оренди такого автотранспорту 3-го класу захисту </w:t>
            </w:r>
            <w:r w:rsidRPr="00363BDC">
              <w:rPr>
                <w:rFonts w:ascii="Verdana" w:eastAsia="Times New Roman" w:hAnsi="Verdana" w:cs="Times New Roman"/>
                <w:sz w:val="21"/>
                <w:lang w:eastAsia="ru-RU"/>
              </w:rPr>
              <w:t>у</w:t>
            </w: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випадку наміру здійснювати такі перевезення.</w:t>
            </w:r>
          </w:p>
        </w:tc>
      </w:tr>
      <w:tr w:rsidR="00363BDC" w:rsidRPr="00363BDC" w:rsidTr="00363BDC">
        <w:trPr>
          <w:jc w:val="center"/>
        </w:trPr>
        <w:tc>
          <w:tcPr>
            <w:tcW w:w="7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Сфера інтересів громадян</w:t>
            </w:r>
          </w:p>
        </w:tc>
      </w:tr>
      <w:tr w:rsidR="00363BDC" w:rsidRPr="00363BDC" w:rsidTr="00363BDC">
        <w:trPr>
          <w:jc w:val="center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Гарантується безпека </w:t>
            </w: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громадян  при дотриманні вимог запропонованого проекту акта</w:t>
            </w:r>
          </w:p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DC" w:rsidRPr="00363BDC" w:rsidRDefault="00363BDC" w:rsidP="0036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D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Витрати громадян відсутні</w:t>
            </w:r>
          </w:p>
        </w:tc>
      </w:tr>
    </w:tbl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7. Термін дії акта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Термін дії акта необмежений.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8. Показники результативності акта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Прийняття даного проекту акта не впливатиме на розмі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надходжень до державного та місцевих бюджетів і державних цільових фондів.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Дія проекту акта поширюється на всіх суб'єктів господарювання (юридичних осіб і фізичних осіб –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ідприємців), які отримали ліцензії на провадження охоронної діяльності та які мають намір здійснювати перевезення небезпечних і цінних вантажів.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івень поінформованості суб’єктів господарювання з основними положеннями акта – високий.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З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цією метою здійснено розміщення проекту постанови на веб-сайті Національної поліції України.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Показником результативності проекту акта є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ідвищення рівня захисту життя та здоров’я працівників Національної поліції України та інших суб’єктів господарювання при здійсненні перевезення небезпечних і цінних вантажів. Розмір коштів та час, що витрачатимуться у зв’язку з виконанням вимог акта, буде залежати від кількості та умов договорів на переобладнання панцерованого автотранспорту 2-го класу на 3-й клас захисту, або оренди такого автотранспорту 3-го классу захисту, у зв'язку з чим розробка додатку 2 та 4 до Методики проведення аналізу регуляторного впливу, затвердженої Постановою Кабінету Міні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стр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ів України від 11.03.2004 р. № 308 (далі – Методика) не проводилась.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Реалізація постанови потребує додаткових матеріальних витрат суб’єктів господарювання у випадку наміру суб’єктів господарювання здійснювати перевезення небезпечних і цінних вантажі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Бюджетні витрати на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адм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іністрування регулювання для зазначеної категорії суб’єктів господарювання відсутні, у зв’язку з чим розробка додатку 3 до Методики не проводилась.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9. Заходи, за допомогою яких здійснюватиметься відстеження результативності акта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Базове відстеження результативності пропонованого регуляторного акта буде здійснюватися до дати набрання чинності цим актом шляхом збирання пропозицій і зауважень та їх аналізу.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Повторне відстеження результативності буде здійснено через один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р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ік після набуття чинності регуляторним актом шляхом аналізу даних порівняно з базовим відстеженням.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Періодичні відстеження будуть здійснюватися раз на кожні три роки, починаючи з дня закінчення заході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в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Відстеження результативності регуляторного акта буде проводитися на </w:t>
      </w:r>
      <w:r w:rsidRPr="00363BDC">
        <w:rPr>
          <w:rFonts w:ascii="Verdana" w:eastAsia="Times New Roman" w:hAnsi="Verdana" w:cs="Times New Roman"/>
          <w:color w:val="000000"/>
          <w:sz w:val="21"/>
          <w:lang w:eastAsia="ru-RU"/>
        </w:rPr>
        <w:t>п</w:t>
      </w: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ідставі аналізу статистичних даних.</w:t>
      </w:r>
    </w:p>
    <w:p w:rsidR="00363BDC" w:rsidRPr="00363BDC" w:rsidRDefault="00363BDC" w:rsidP="00363BDC">
      <w:pPr>
        <w:shd w:val="clear" w:color="auto" w:fill="F8F8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Т.в.о. Голови Національної поліції України                 В.А. Троян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63BDC" w:rsidRPr="00363BDC" w:rsidRDefault="00363BDC" w:rsidP="00363BD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B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 2016 року</w:t>
      </w:r>
    </w:p>
    <w:p w:rsidR="002133B7" w:rsidRDefault="002133B7"/>
    <w:sectPr w:rsidR="002133B7" w:rsidSect="0021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63BDC"/>
    <w:rsid w:val="002133B7"/>
    <w:rsid w:val="00363BDC"/>
    <w:rsid w:val="003C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63BDC"/>
  </w:style>
  <w:style w:type="character" w:styleId="a3">
    <w:name w:val="Hyperlink"/>
    <w:basedOn w:val="a0"/>
    <w:uiPriority w:val="99"/>
    <w:semiHidden/>
    <w:unhideWhenUsed/>
    <w:rsid w:val="00363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ddso@mv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1973</Words>
  <Characters>11247</Characters>
  <Application>Microsoft Office Word</Application>
  <DocSecurity>0</DocSecurity>
  <Lines>93</Lines>
  <Paragraphs>26</Paragraphs>
  <ScaleCrop>false</ScaleCrop>
  <Company>Microsoft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Call4</dc:creator>
  <cp:lastModifiedBy>Call4</cp:lastModifiedBy>
  <cp:revision>1</cp:revision>
  <dcterms:created xsi:type="dcterms:W3CDTF">2018-02-06T09:55:00Z</dcterms:created>
  <dcterms:modified xsi:type="dcterms:W3CDTF">2018-02-06T09:58:00Z</dcterms:modified>
</cp:coreProperties>
</file>