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EC" w:rsidRPr="005A2A0E" w:rsidRDefault="005A2A0E" w:rsidP="005A2A0E">
      <w:pPr>
        <w:jc w:val="both"/>
        <w:rPr>
          <w:rFonts w:ascii="Verdana" w:hAnsi="Verdana"/>
          <w:b/>
          <w:sz w:val="21"/>
          <w:szCs w:val="21"/>
        </w:rPr>
      </w:pPr>
      <w:r w:rsidRPr="005A2A0E">
        <w:rPr>
          <w:rFonts w:ascii="Verdana" w:hAnsi="Verdana"/>
          <w:b/>
          <w:sz w:val="21"/>
          <w:szCs w:val="21"/>
        </w:rPr>
        <w:t>Повідомлення про оприлюднення проекту наказу МВС України "Про затвердження Інструкції з питань супроводження транспортних засобі</w:t>
      </w:r>
      <w:proofErr w:type="gramStart"/>
      <w:r w:rsidRPr="005A2A0E">
        <w:rPr>
          <w:rFonts w:ascii="Verdana" w:hAnsi="Verdana"/>
          <w:b/>
          <w:sz w:val="21"/>
          <w:szCs w:val="21"/>
        </w:rPr>
        <w:t>в</w:t>
      </w:r>
      <w:proofErr w:type="gramEnd"/>
      <w:r w:rsidRPr="005A2A0E">
        <w:rPr>
          <w:rFonts w:ascii="Verdana" w:hAnsi="Verdana"/>
          <w:b/>
          <w:sz w:val="21"/>
          <w:szCs w:val="21"/>
        </w:rPr>
        <w:t xml:space="preserve"> </w:t>
      </w:r>
      <w:proofErr w:type="gramStart"/>
      <w:r w:rsidRPr="005A2A0E">
        <w:rPr>
          <w:rFonts w:ascii="Verdana" w:hAnsi="Verdana"/>
          <w:b/>
          <w:sz w:val="21"/>
          <w:szCs w:val="21"/>
        </w:rPr>
        <w:t>спец</w:t>
      </w:r>
      <w:proofErr w:type="gramEnd"/>
      <w:r w:rsidRPr="005A2A0E">
        <w:rPr>
          <w:rFonts w:ascii="Verdana" w:hAnsi="Verdana"/>
          <w:b/>
          <w:sz w:val="21"/>
          <w:szCs w:val="21"/>
        </w:rPr>
        <w:t>іалізованими автомобілями Національної поліції...</w:t>
      </w:r>
    </w:p>
    <w:p w:rsidR="005A2A0E" w:rsidRPr="005A2A0E" w:rsidRDefault="005A2A0E" w:rsidP="005A2A0E">
      <w:pPr>
        <w:spacing w:after="0" w:line="240" w:lineRule="auto"/>
        <w:ind w:left="20"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Повідомлення про оприлюднення проекту наказу МВС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його здійснення» та аналізу його регуляторного впливу</w:t>
      </w:r>
    </w:p>
    <w:p w:rsidR="005A2A0E" w:rsidRPr="005A2A0E" w:rsidRDefault="005A2A0E" w:rsidP="005A2A0E">
      <w:pPr>
        <w:spacing w:after="0" w:line="240" w:lineRule="auto"/>
        <w:ind w:left="20"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spacing w:after="0" w:line="240" w:lineRule="auto"/>
        <w:ind w:left="23"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На виконання вимог статті 9 Закону України «Про засади державної регуляторної політики у сфері господарської діяльності» (далі - Закон) Національна поліція України повідомляє про оприлюднення проекту наказу МВС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його здійснення» (далі - проект акта) та аналізу його регуляторного впливу з метою отримання зауважень та пропозицій.</w:t>
      </w:r>
    </w:p>
    <w:p w:rsidR="005A2A0E" w:rsidRPr="005A2A0E" w:rsidRDefault="005A2A0E" w:rsidP="005A2A0E">
      <w:pPr>
        <w:spacing w:after="0" w:line="240" w:lineRule="auto"/>
        <w:ind w:left="23"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Проект наказу розроблено з метою впорядкування забезпечення супроводження транспортних засобі</w:t>
      </w:r>
      <w:proofErr w:type="gramStart"/>
      <w:r w:rsidRPr="005A2A0E">
        <w:rPr>
          <w:rFonts w:ascii="Verdana" w:eastAsia="Times New Roman" w:hAnsi="Verdana" w:cs="Times New Roman"/>
          <w:sz w:val="21"/>
          <w:szCs w:val="21"/>
          <w:lang w:eastAsia="ru-RU"/>
        </w:rPr>
        <w:t>в</w:t>
      </w:r>
      <w:proofErr w:type="gramEnd"/>
      <w:r w:rsidRPr="005A2A0E">
        <w:rPr>
          <w:rFonts w:ascii="Verdana" w:eastAsia="Times New Roman" w:hAnsi="Verdana" w:cs="Times New Roman"/>
          <w:sz w:val="21"/>
          <w:szCs w:val="21"/>
          <w:lang w:eastAsia="ru-RU"/>
        </w:rPr>
        <w:t xml:space="preserve"> </w:t>
      </w:r>
      <w:proofErr w:type="gramStart"/>
      <w:r w:rsidRPr="005A2A0E">
        <w:rPr>
          <w:rFonts w:ascii="Verdana" w:eastAsia="Times New Roman" w:hAnsi="Verdana" w:cs="Times New Roman"/>
          <w:sz w:val="21"/>
          <w:szCs w:val="21"/>
          <w:lang w:eastAsia="ru-RU"/>
        </w:rPr>
        <w:t>спец</w:t>
      </w:r>
      <w:proofErr w:type="gramEnd"/>
      <w:r w:rsidRPr="005A2A0E">
        <w:rPr>
          <w:rFonts w:ascii="Verdana" w:eastAsia="Times New Roman" w:hAnsi="Verdana" w:cs="Times New Roman"/>
          <w:sz w:val="21"/>
          <w:szCs w:val="21"/>
          <w:lang w:eastAsia="ru-RU"/>
        </w:rPr>
        <w:t>іалізованими автомобілями Національної поліції України.</w:t>
      </w:r>
    </w:p>
    <w:p w:rsidR="005A2A0E" w:rsidRDefault="005A2A0E" w:rsidP="005A2A0E">
      <w:pPr>
        <w:spacing w:after="0" w:line="240" w:lineRule="auto"/>
        <w:ind w:left="23"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Зауваження та пропозиції до зазначеного проекту наказу та аналізу </w:t>
      </w:r>
      <w:proofErr w:type="gramStart"/>
      <w:r w:rsidRPr="005A2A0E">
        <w:rPr>
          <w:rFonts w:ascii="Verdana" w:eastAsia="Times New Roman" w:hAnsi="Verdana" w:cs="Times New Roman"/>
          <w:sz w:val="21"/>
          <w:szCs w:val="21"/>
          <w:lang w:eastAsia="ru-RU"/>
        </w:rPr>
        <w:t>регуляторного</w:t>
      </w:r>
      <w:proofErr w:type="gramEnd"/>
      <w:r w:rsidRPr="005A2A0E">
        <w:rPr>
          <w:rFonts w:ascii="Verdana" w:eastAsia="Times New Roman" w:hAnsi="Verdana" w:cs="Times New Roman"/>
          <w:sz w:val="21"/>
          <w:szCs w:val="21"/>
          <w:lang w:eastAsia="ru-RU"/>
        </w:rPr>
        <w:t xml:space="preserve"> впливу від фізичних та юридичних осіб, їх об’єднань приймаються протягом місяця з дати опублікування за електронною адресою Національної поліції України: </w:t>
      </w:r>
      <w:hyperlink r:id="rId4" w:history="1">
        <w:r w:rsidRPr="005A2A0E">
          <w:rPr>
            <w:rFonts w:ascii="Verdana" w:eastAsia="Times New Roman" w:hAnsi="Verdana" w:cs="Times New Roman"/>
            <w:color w:val="0000FF"/>
            <w:sz w:val="21"/>
            <w:szCs w:val="21"/>
            <w:u w:val="single"/>
            <w:lang w:eastAsia="ru-RU"/>
          </w:rPr>
          <w:t>office@guard.np.gov.ua</w:t>
        </w:r>
      </w:hyperlink>
      <w:r w:rsidRPr="005A2A0E">
        <w:rPr>
          <w:rFonts w:ascii="Verdana" w:eastAsia="Times New Roman" w:hAnsi="Verdana" w:cs="Times New Roman"/>
          <w:sz w:val="21"/>
          <w:szCs w:val="21"/>
          <w:lang w:eastAsia="ru-RU"/>
        </w:rPr>
        <w:t>.</w:t>
      </w:r>
    </w:p>
    <w:p w:rsidR="005A2A0E" w:rsidRPr="005A2A0E" w:rsidRDefault="005A2A0E" w:rsidP="005A2A0E">
      <w:pPr>
        <w:spacing w:after="0" w:line="240" w:lineRule="auto"/>
        <w:ind w:left="23" w:right="20"/>
        <w:jc w:val="both"/>
        <w:rPr>
          <w:rFonts w:ascii="Verdana" w:eastAsia="Times New Roman" w:hAnsi="Verdana" w:cs="Times New Roman"/>
          <w:sz w:val="21"/>
          <w:szCs w:val="21"/>
          <w:lang w:eastAsia="ru-RU"/>
        </w:rPr>
      </w:pPr>
    </w:p>
    <w:p w:rsidR="005A2A0E" w:rsidRPr="005A2A0E" w:rsidRDefault="005A2A0E" w:rsidP="005A2A0E">
      <w:pPr>
        <w:spacing w:after="0" w:line="240" w:lineRule="auto"/>
        <w:ind w:left="23" w:righ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Відповідно до частини першої статті 20 Закону зауваження та пропозиції щодо оприлюдненого проекту регуляторного акта та відповідного аналізу регуляторного впливу надаються також на адресу</w:t>
      </w:r>
      <w:proofErr w:type="gramStart"/>
      <w:r w:rsidRPr="005A2A0E">
        <w:rPr>
          <w:rFonts w:ascii="Verdana" w:eastAsia="Times New Roman" w:hAnsi="Verdana" w:cs="Times New Roman"/>
          <w:sz w:val="21"/>
          <w:szCs w:val="21"/>
          <w:lang w:eastAsia="ru-RU"/>
        </w:rPr>
        <w:t xml:space="preserve"> Д</w:t>
      </w:r>
      <w:proofErr w:type="gramEnd"/>
      <w:r w:rsidRPr="005A2A0E">
        <w:rPr>
          <w:rFonts w:ascii="Verdana" w:eastAsia="Times New Roman" w:hAnsi="Verdana" w:cs="Times New Roman"/>
          <w:sz w:val="21"/>
          <w:szCs w:val="21"/>
          <w:lang w:eastAsia="ru-RU"/>
        </w:rPr>
        <w:t>ержавної регуляторної служби України:</w:t>
      </w:r>
    </w:p>
    <w:p w:rsidR="005A2A0E" w:rsidRDefault="005A2A0E" w:rsidP="005A2A0E">
      <w:pPr>
        <w:spacing w:after="0" w:line="240" w:lineRule="auto"/>
        <w:ind w:left="23" w:right="404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поштову: вул. Арсенальна, 9/11, м. Київ, 01011; електронну: </w:t>
      </w:r>
      <w:hyperlink r:id="rId5" w:history="1">
        <w:r w:rsidRPr="005A2A0E">
          <w:rPr>
            <w:rFonts w:ascii="Verdana" w:eastAsia="Times New Roman" w:hAnsi="Verdana" w:cs="Times New Roman"/>
            <w:color w:val="0000FF"/>
            <w:sz w:val="21"/>
            <w:szCs w:val="21"/>
            <w:u w:val="single"/>
            <w:lang w:eastAsia="ru-RU"/>
          </w:rPr>
          <w:t>inform@dkrp.gov.ua</w:t>
        </w:r>
      </w:hyperlink>
      <w:r w:rsidRPr="005A2A0E">
        <w:rPr>
          <w:rFonts w:ascii="Verdana" w:eastAsia="Times New Roman" w:hAnsi="Verdana" w:cs="Times New Roman"/>
          <w:sz w:val="21"/>
          <w:szCs w:val="21"/>
          <w:lang w:eastAsia="ru-RU"/>
        </w:rPr>
        <w:t>.</w:t>
      </w:r>
    </w:p>
    <w:p w:rsidR="005A2A0E" w:rsidRPr="005A2A0E" w:rsidRDefault="005A2A0E" w:rsidP="005A2A0E">
      <w:pPr>
        <w:spacing w:after="0" w:line="240" w:lineRule="auto"/>
        <w:ind w:left="23" w:right="4040"/>
        <w:jc w:val="both"/>
        <w:rPr>
          <w:rFonts w:ascii="Verdana" w:eastAsia="Times New Roman" w:hAnsi="Verdana" w:cs="Times New Roman"/>
          <w:sz w:val="21"/>
          <w:szCs w:val="21"/>
          <w:lang w:eastAsia="ru-RU"/>
        </w:rPr>
      </w:pPr>
    </w:p>
    <w:p w:rsidR="005A2A0E" w:rsidRPr="005A2A0E" w:rsidRDefault="005A2A0E" w:rsidP="005A2A0E">
      <w:pPr>
        <w:spacing w:after="0" w:line="240" w:lineRule="auto"/>
        <w:ind w:left="23"/>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Контактна особа: Наумець Сергій Володимирович - ДПД, т. (044) 256-16-71.</w:t>
      </w:r>
    </w:p>
    <w:p w:rsidR="005A2A0E" w:rsidRPr="005A2A0E" w:rsidRDefault="005A2A0E" w:rsidP="005A2A0E">
      <w:pPr>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pacing w:before="100" w:beforeAutospacing="1" w:after="100" w:afterAutospacing="1" w:line="36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ЗАТВЕРДЖЕНО</w:t>
      </w:r>
    </w:p>
    <w:p w:rsidR="005A2A0E" w:rsidRPr="005A2A0E" w:rsidRDefault="005A2A0E" w:rsidP="005A2A0E">
      <w:pPr>
        <w:widowControl w:val="0"/>
        <w:spacing w:before="100" w:beforeAutospacing="1" w:after="100" w:afterAutospacing="1" w:line="36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 xml:space="preserve">Наказ Міністерства внутрішніх справ України </w:t>
      </w:r>
    </w:p>
    <w:p w:rsidR="005A2A0E" w:rsidRPr="005A2A0E" w:rsidRDefault="005A2A0E" w:rsidP="005A2A0E">
      <w:pPr>
        <w:widowControl w:val="0"/>
        <w:spacing w:before="100" w:beforeAutospacing="1" w:after="100" w:afterAutospacing="1" w:line="36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___ ______ 2016 року №______</w:t>
      </w:r>
    </w:p>
    <w:p w:rsidR="005A2A0E" w:rsidRPr="005A2A0E" w:rsidRDefault="005A2A0E" w:rsidP="005A2A0E">
      <w:pPr>
        <w:widowControl w:val="0"/>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ІНСТРУКЦІЯ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lastRenderedPageBreak/>
        <w:t>з питань супроводження транспортних засобі</w:t>
      </w:r>
      <w:proofErr w:type="gramStart"/>
      <w:r w:rsidRPr="005A2A0E">
        <w:rPr>
          <w:rFonts w:ascii="Verdana" w:eastAsia="Times New Roman" w:hAnsi="Verdana" w:cs="Times New Roman"/>
          <w:b/>
          <w:sz w:val="21"/>
          <w:szCs w:val="21"/>
          <w:lang w:eastAsia="ru-RU"/>
        </w:rPr>
        <w:t>в</w:t>
      </w:r>
      <w:proofErr w:type="gramEnd"/>
      <w:r w:rsidRPr="005A2A0E">
        <w:rPr>
          <w:rFonts w:ascii="Verdana" w:eastAsia="Times New Roman" w:hAnsi="Verdana" w:cs="Times New Roman"/>
          <w:b/>
          <w:sz w:val="21"/>
          <w:szCs w:val="21"/>
          <w:lang w:eastAsia="ru-RU"/>
        </w:rPr>
        <w:t xml:space="preserve"> </w:t>
      </w:r>
      <w:proofErr w:type="gramStart"/>
      <w:r w:rsidRPr="005A2A0E">
        <w:rPr>
          <w:rFonts w:ascii="Verdana" w:eastAsia="Times New Roman" w:hAnsi="Verdana" w:cs="Times New Roman"/>
          <w:b/>
          <w:sz w:val="21"/>
          <w:szCs w:val="21"/>
          <w:lang w:eastAsia="ru-RU"/>
        </w:rPr>
        <w:t>спец</w:t>
      </w:r>
      <w:proofErr w:type="gramEnd"/>
      <w:r w:rsidRPr="005A2A0E">
        <w:rPr>
          <w:rFonts w:ascii="Verdana" w:eastAsia="Times New Roman" w:hAnsi="Verdana" w:cs="Times New Roman"/>
          <w:b/>
          <w:sz w:val="21"/>
          <w:szCs w:val="21"/>
          <w:lang w:eastAsia="ru-RU"/>
        </w:rPr>
        <w:t>іалізованими автомобілями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eastAsia="ru-RU"/>
        </w:rPr>
        <w:t xml:space="preserve">і забезпечення безпеки дорожнього руху </w:t>
      </w:r>
      <w:proofErr w:type="gramStart"/>
      <w:r w:rsidRPr="005A2A0E">
        <w:rPr>
          <w:rFonts w:ascii="Verdana" w:eastAsia="Times New Roman" w:hAnsi="Verdana" w:cs="Times New Roman"/>
          <w:b/>
          <w:sz w:val="21"/>
          <w:szCs w:val="21"/>
          <w:lang w:eastAsia="ru-RU"/>
        </w:rPr>
        <w:t>п</w:t>
      </w:r>
      <w:proofErr w:type="gramEnd"/>
      <w:r w:rsidRPr="005A2A0E">
        <w:rPr>
          <w:rFonts w:ascii="Verdana" w:eastAsia="Times New Roman" w:hAnsi="Verdana" w:cs="Times New Roman"/>
          <w:b/>
          <w:sz w:val="21"/>
          <w:szCs w:val="21"/>
          <w:lang w:eastAsia="ru-RU"/>
        </w:rPr>
        <w:t>ід час його здійснення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І. Загальні положення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1. Ця Інструкція визначає процедуру супроводження і забезпечення безпеки дорожнього руху небезпечних, негабаритних та великовагових вантажів, що перевозяться транспортними засобами, інших транспортних засобів, а також супроводження і забезпечення безпечного руху транспортних засобів спеціального призначення, транспортних засобів з організованими групами дітей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 xml:space="preserve">ід час руху до місць оздоровлення, відпочинку, екскурсій та у зворотному напрямку спеціалізованими автомобілями Національної поліції відповідно до </w:t>
      </w:r>
      <w:proofErr w:type="gramStart"/>
      <w:r w:rsidRPr="005A2A0E">
        <w:rPr>
          <w:rFonts w:ascii="Verdana" w:eastAsia="Times New Roman" w:hAnsi="Verdana" w:cs="Times New Roman"/>
          <w:sz w:val="21"/>
          <w:szCs w:val="21"/>
          <w:lang w:eastAsia="ru-RU"/>
        </w:rPr>
        <w:t>чинного</w:t>
      </w:r>
      <w:proofErr w:type="gramEnd"/>
      <w:r w:rsidRPr="005A2A0E">
        <w:rPr>
          <w:rFonts w:ascii="Verdana" w:eastAsia="Times New Roman" w:hAnsi="Verdana" w:cs="Times New Roman"/>
          <w:sz w:val="21"/>
          <w:szCs w:val="21"/>
          <w:lang w:eastAsia="ru-RU"/>
        </w:rPr>
        <w:t xml:space="preserve"> законодавства.</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2. Ця Інструкція розроблена відповідно до Законів України, постанов Кабінету Міні</w:t>
      </w:r>
      <w:proofErr w:type="gramStart"/>
      <w:r w:rsidRPr="005A2A0E">
        <w:rPr>
          <w:rFonts w:ascii="Verdana" w:eastAsia="Times New Roman" w:hAnsi="Verdana" w:cs="Times New Roman"/>
          <w:sz w:val="21"/>
          <w:szCs w:val="21"/>
          <w:lang w:eastAsia="ru-RU"/>
        </w:rPr>
        <w:t>стр</w:t>
      </w:r>
      <w:proofErr w:type="gramEnd"/>
      <w:r w:rsidRPr="005A2A0E">
        <w:rPr>
          <w:rFonts w:ascii="Verdana" w:eastAsia="Times New Roman" w:hAnsi="Verdana" w:cs="Times New Roman"/>
          <w:sz w:val="21"/>
          <w:szCs w:val="21"/>
          <w:lang w:eastAsia="ru-RU"/>
        </w:rPr>
        <w:t>ів України від 18 лютого 1997 року № 176 «Про затвердження Правил надання послуг пасажирського автомобільного транспорту», від 18 січня 2001 року № 30 «Про проїзд великогабаритних та великовагових транспортних засобів автомобільними дорогами, вулицями та залізничними переїздами», від 10 жовтня 2001 року № 1306 «Про Правила дорожнього руху» (далі – Правила дорожнього руху), від 04 червня 2007 року № 795 «Про затвердження переліку платних послуг, які надаються підрозділами Міністерства внутрішніх справ, Національної поліції та</w:t>
      </w:r>
      <w:proofErr w:type="gramStart"/>
      <w:r w:rsidRPr="005A2A0E">
        <w:rPr>
          <w:rFonts w:ascii="Verdana" w:eastAsia="Times New Roman" w:hAnsi="Verdana" w:cs="Times New Roman"/>
          <w:sz w:val="21"/>
          <w:szCs w:val="21"/>
          <w:lang w:eastAsia="ru-RU"/>
        </w:rPr>
        <w:t xml:space="preserve"> Д</w:t>
      </w:r>
      <w:proofErr w:type="gramEnd"/>
      <w:r w:rsidRPr="005A2A0E">
        <w:rPr>
          <w:rFonts w:ascii="Verdana" w:eastAsia="Times New Roman" w:hAnsi="Verdana" w:cs="Times New Roman"/>
          <w:sz w:val="21"/>
          <w:szCs w:val="21"/>
          <w:lang w:eastAsia="ru-RU"/>
        </w:rPr>
        <w:t xml:space="preserve">ержавної міграційної служби, і розміру плати за їх надання», іншими нормативно-правовими актами, які діють у цій сфері, а також іншими нормативно-правовими актами з питань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здійснення супроводжень.</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ІІ. Основні організаційні заходи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супроводження транспортних засобів спеціалізованими автомобілями Національної поліції України і забезпечення безпеки дорожнього руху під час його здійснення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1. Супроводження транспортних засобів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перевезення негабаритних, великовагових та небезпечних вантажів, автобусів та інших транспортних засобів:</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lastRenderedPageBreak/>
        <w:t xml:space="preserve">1) супроводження транспортних засобів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перевезення небезпечних, негабаритних і великовагових вантажів, автобусів та інших транспортних засобів, крім зазначених у пунктах 2, 3 цього розділу, здійснюється підрозділами Національної поліції на платній основі. Плата за супроводження здійснюється відповідно до постанови Кабінету Міністрів України від 04 червня 2007 року № 795 «Про затвердження переліку платних послуг, які надаються підрозділами Міністерства внутрішніх справ, Національної поліції та</w:t>
      </w:r>
      <w:proofErr w:type="gramStart"/>
      <w:r w:rsidRPr="005A2A0E">
        <w:rPr>
          <w:rFonts w:ascii="Verdana" w:eastAsia="Times New Roman" w:hAnsi="Verdana" w:cs="Times New Roman"/>
          <w:sz w:val="21"/>
          <w:szCs w:val="21"/>
          <w:lang w:eastAsia="ru-RU"/>
        </w:rPr>
        <w:t xml:space="preserve"> Д</w:t>
      </w:r>
      <w:proofErr w:type="gramEnd"/>
      <w:r w:rsidRPr="005A2A0E">
        <w:rPr>
          <w:rFonts w:ascii="Verdana" w:eastAsia="Times New Roman" w:hAnsi="Verdana" w:cs="Times New Roman"/>
          <w:sz w:val="21"/>
          <w:szCs w:val="21"/>
          <w:lang w:eastAsia="ru-RU"/>
        </w:rPr>
        <w:t>ержавної міграційної служби, і розміру плати за їх надання»;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2) супроводження спеціалізованим автомобілем Національної поліції обов’язкове у випадках, передбачених пунктом 28 Правил </w:t>
      </w:r>
      <w:r w:rsidRPr="005A2A0E">
        <w:rPr>
          <w:rFonts w:ascii="Verdana" w:eastAsia="Times New Roman" w:hAnsi="Verdana" w:cs="Times New Roman"/>
          <w:bCs/>
          <w:sz w:val="21"/>
          <w:szCs w:val="21"/>
          <w:lang w:eastAsia="ru-RU"/>
        </w:rPr>
        <w:t>проїзду великогабаритних та великовагових транспортних засобів автомобільними дорогами, вулицями та залізничними переїздами, затверджених постановою Кабінету Міні</w:t>
      </w:r>
      <w:proofErr w:type="gramStart"/>
      <w:r w:rsidRPr="005A2A0E">
        <w:rPr>
          <w:rFonts w:ascii="Verdana" w:eastAsia="Times New Roman" w:hAnsi="Verdana" w:cs="Times New Roman"/>
          <w:bCs/>
          <w:sz w:val="21"/>
          <w:szCs w:val="21"/>
          <w:lang w:eastAsia="ru-RU"/>
        </w:rPr>
        <w:t>стр</w:t>
      </w:r>
      <w:proofErr w:type="gramEnd"/>
      <w:r w:rsidRPr="005A2A0E">
        <w:rPr>
          <w:rFonts w:ascii="Verdana" w:eastAsia="Times New Roman" w:hAnsi="Verdana" w:cs="Times New Roman"/>
          <w:bCs/>
          <w:sz w:val="21"/>
          <w:szCs w:val="21"/>
          <w:lang w:eastAsia="ru-RU"/>
        </w:rPr>
        <w:t>ів України від 18 січня 2001 року № 30;</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3) за необхідності супроводження транспортних засобів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перевезення небезпечних, негабаритних та великовагових вантажів, автобусів та інших транспортних засобів у межах:</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однієї області/міста – автомобільний перевізник завчасно звертається з відповідним листом на і</w:t>
      </w:r>
      <w:proofErr w:type="gramStart"/>
      <w:r w:rsidRPr="005A2A0E">
        <w:rPr>
          <w:rFonts w:ascii="Verdana" w:eastAsia="Times New Roman" w:hAnsi="Verdana" w:cs="Times New Roman"/>
          <w:sz w:val="21"/>
          <w:szCs w:val="21"/>
          <w:lang w:eastAsia="ru-RU"/>
        </w:rPr>
        <w:t>м’я</w:t>
      </w:r>
      <w:proofErr w:type="gramEnd"/>
      <w:r w:rsidRPr="005A2A0E">
        <w:rPr>
          <w:rFonts w:ascii="Verdana" w:eastAsia="Times New Roman" w:hAnsi="Verdana" w:cs="Times New Roman"/>
          <w:sz w:val="21"/>
          <w:szCs w:val="21"/>
          <w:lang w:eastAsia="ru-RU"/>
        </w:rPr>
        <w:t xml:space="preserve"> керівника територіального органу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декількох областей – автомобільний перевізник завчасно звертається з відповідним листом на і</w:t>
      </w:r>
      <w:proofErr w:type="gramStart"/>
      <w:r w:rsidRPr="005A2A0E">
        <w:rPr>
          <w:rFonts w:ascii="Verdana" w:eastAsia="Times New Roman" w:hAnsi="Verdana" w:cs="Times New Roman"/>
          <w:sz w:val="21"/>
          <w:szCs w:val="21"/>
          <w:lang w:eastAsia="ru-RU"/>
        </w:rPr>
        <w:t>м’я</w:t>
      </w:r>
      <w:proofErr w:type="gramEnd"/>
      <w:r w:rsidRPr="005A2A0E">
        <w:rPr>
          <w:rFonts w:ascii="Verdana" w:eastAsia="Times New Roman" w:hAnsi="Verdana" w:cs="Times New Roman"/>
          <w:sz w:val="21"/>
          <w:szCs w:val="21"/>
          <w:lang w:eastAsia="ru-RU"/>
        </w:rPr>
        <w:t xml:space="preserve"> керівництва Національної поліції України.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У</w:t>
      </w:r>
      <w:proofErr w:type="gramEnd"/>
      <w:r w:rsidRPr="005A2A0E">
        <w:rPr>
          <w:rFonts w:ascii="Verdana" w:eastAsia="Times New Roman" w:hAnsi="Verdana" w:cs="Times New Roman"/>
          <w:sz w:val="21"/>
          <w:szCs w:val="21"/>
          <w:lang w:eastAsia="ru-RU"/>
        </w:rPr>
        <w:t xml:space="preserve"> листі зазначаються: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дата поїздки;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марка та номерний знак </w:t>
      </w:r>
      <w:proofErr w:type="gramStart"/>
      <w:r w:rsidRPr="005A2A0E">
        <w:rPr>
          <w:rFonts w:ascii="Verdana" w:eastAsia="Times New Roman" w:hAnsi="Verdana" w:cs="Times New Roman"/>
          <w:sz w:val="21"/>
          <w:szCs w:val="21"/>
          <w:lang w:eastAsia="ru-RU"/>
        </w:rPr>
        <w:t>транспортного</w:t>
      </w:r>
      <w:proofErr w:type="gramEnd"/>
      <w:r w:rsidRPr="005A2A0E">
        <w:rPr>
          <w:rFonts w:ascii="Verdana" w:eastAsia="Times New Roman" w:hAnsi="Verdana" w:cs="Times New Roman"/>
          <w:sz w:val="21"/>
          <w:szCs w:val="21"/>
          <w:lang w:eastAsia="ru-RU"/>
        </w:rPr>
        <w:t xml:space="preserve"> засобу, що здійснює перевезення;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пр</w:t>
      </w:r>
      <w:proofErr w:type="gramEnd"/>
      <w:r w:rsidRPr="005A2A0E">
        <w:rPr>
          <w:rFonts w:ascii="Verdana" w:eastAsia="Times New Roman" w:hAnsi="Verdana" w:cs="Times New Roman"/>
          <w:sz w:val="21"/>
          <w:szCs w:val="21"/>
          <w:lang w:eastAsia="ru-RU"/>
        </w:rPr>
        <w:t xml:space="preserve">ізвище, ім’я, по батькові та номер телефону водія;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пр</w:t>
      </w:r>
      <w:proofErr w:type="gramEnd"/>
      <w:r w:rsidRPr="005A2A0E">
        <w:rPr>
          <w:rFonts w:ascii="Verdana" w:eastAsia="Times New Roman" w:hAnsi="Verdana" w:cs="Times New Roman"/>
          <w:sz w:val="21"/>
          <w:szCs w:val="21"/>
          <w:lang w:eastAsia="ru-RU"/>
        </w:rPr>
        <w:t>ізвище, ім’я, по батькові та номер телефону відповідальної за перевезення особи;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детальний маршрут руху;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4)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ісля закінчення супроводження складається акт виконаних робіт у двох примірниках за формою, наведеною в додатку до цієї Інструкції;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5) супроводження транспортного засобу, габаритні розміри вантажу якого </w:t>
      </w:r>
      <w:r w:rsidRPr="005A2A0E">
        <w:rPr>
          <w:rFonts w:ascii="Verdana" w:eastAsia="Times New Roman" w:hAnsi="Verdana" w:cs="Times New Roman"/>
          <w:sz w:val="21"/>
          <w:szCs w:val="21"/>
          <w:lang w:eastAsia="ru-RU"/>
        </w:rPr>
        <w:lastRenderedPageBreak/>
        <w:t xml:space="preserve">перевищують нормативні та який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руху займає всі смуги в одному напрямку, здійснюється двома спеціалізованими автомобілями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6) супроводження транспортного засобу, вага якого перевищує нормативну, здійснюється одним спеціалізованим автомобілем Національної поліції. Якщо маршрут руху великовагового транспортного засобу пролягає через мостові переходи та шляхопроводи, у таких місцях забезпечується виставлення додаткових нарядів </w:t>
      </w:r>
      <w:proofErr w:type="gramStart"/>
      <w:r w:rsidRPr="005A2A0E">
        <w:rPr>
          <w:rFonts w:ascii="Verdana" w:eastAsia="Times New Roman" w:hAnsi="Verdana" w:cs="Times New Roman"/>
          <w:sz w:val="21"/>
          <w:szCs w:val="21"/>
          <w:lang w:eastAsia="ru-RU"/>
        </w:rPr>
        <w:t>в</w:t>
      </w:r>
      <w:proofErr w:type="gramEnd"/>
      <w:r w:rsidRPr="005A2A0E">
        <w:rPr>
          <w:rFonts w:ascii="Verdana" w:eastAsia="Times New Roman" w:hAnsi="Verdana" w:cs="Times New Roman"/>
          <w:sz w:val="21"/>
          <w:szCs w:val="21"/>
          <w:lang w:eastAsia="ru-RU"/>
        </w:rPr>
        <w:t>ідповідних підрозділів Національної поліції для тимчасового обмеження руху всіх транспортних засобів до закінчення проїзду.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2. Супроводження транспортних засобів і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перевезення організованих груп дітей:</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1) відповідно до Закону України «Про оздоровлення та відпочинок дітей» супроводження груп дітей до або з місць оздоровлення та відпочинку здійснюється безоплатно працівниками органів Національної поліції;</w:t>
      </w:r>
      <w:proofErr w:type="gramEnd"/>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2) перевезення організованих груп дітей колоною з п’яти і більше автобусів здійснюється за умови супроводження відповідними територіальними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ідрозділами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3) перевезення організованих груп дітей здійснюється із забезпеченням високого </w:t>
      </w:r>
      <w:proofErr w:type="gramStart"/>
      <w:r w:rsidRPr="005A2A0E">
        <w:rPr>
          <w:rFonts w:ascii="Verdana" w:eastAsia="Times New Roman" w:hAnsi="Verdana" w:cs="Times New Roman"/>
          <w:sz w:val="21"/>
          <w:szCs w:val="21"/>
          <w:lang w:eastAsia="ru-RU"/>
        </w:rPr>
        <w:t>р</w:t>
      </w:r>
      <w:proofErr w:type="gramEnd"/>
      <w:r w:rsidRPr="005A2A0E">
        <w:rPr>
          <w:rFonts w:ascii="Verdana" w:eastAsia="Times New Roman" w:hAnsi="Verdana" w:cs="Times New Roman"/>
          <w:sz w:val="21"/>
          <w:szCs w:val="21"/>
          <w:lang w:eastAsia="ru-RU"/>
        </w:rPr>
        <w:t>івня безпеки дорожнього руху;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4) за необхідності забезпечення супроводу груп дітей до місць оздоровлення та відпочинку і у зворотному напрямку,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екскурсій у межах:</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однієї області/міста – автомобільний перевізник завчасно звертається з відповідним листом на і</w:t>
      </w:r>
      <w:proofErr w:type="gramStart"/>
      <w:r w:rsidRPr="005A2A0E">
        <w:rPr>
          <w:rFonts w:ascii="Verdana" w:eastAsia="Times New Roman" w:hAnsi="Verdana" w:cs="Times New Roman"/>
          <w:sz w:val="21"/>
          <w:szCs w:val="21"/>
          <w:lang w:eastAsia="ru-RU"/>
        </w:rPr>
        <w:t>м’я</w:t>
      </w:r>
      <w:proofErr w:type="gramEnd"/>
      <w:r w:rsidRPr="005A2A0E">
        <w:rPr>
          <w:rFonts w:ascii="Verdana" w:eastAsia="Times New Roman" w:hAnsi="Verdana" w:cs="Times New Roman"/>
          <w:sz w:val="21"/>
          <w:szCs w:val="21"/>
          <w:lang w:eastAsia="ru-RU"/>
        </w:rPr>
        <w:t xml:space="preserve"> керівника територіального органу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декількох областей – автомобільний перевізник завчасно звертається з відповідним листом на і</w:t>
      </w:r>
      <w:proofErr w:type="gramStart"/>
      <w:r w:rsidRPr="005A2A0E">
        <w:rPr>
          <w:rFonts w:ascii="Verdana" w:eastAsia="Times New Roman" w:hAnsi="Verdana" w:cs="Times New Roman"/>
          <w:sz w:val="21"/>
          <w:szCs w:val="21"/>
          <w:lang w:eastAsia="ru-RU"/>
        </w:rPr>
        <w:t>м’я</w:t>
      </w:r>
      <w:proofErr w:type="gramEnd"/>
      <w:r w:rsidRPr="005A2A0E">
        <w:rPr>
          <w:rFonts w:ascii="Verdana" w:eastAsia="Times New Roman" w:hAnsi="Verdana" w:cs="Times New Roman"/>
          <w:sz w:val="21"/>
          <w:szCs w:val="21"/>
          <w:lang w:eastAsia="ru-RU"/>
        </w:rPr>
        <w:t xml:space="preserve"> керівництва Національної поліції України.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У</w:t>
      </w:r>
      <w:proofErr w:type="gramEnd"/>
      <w:r w:rsidRPr="005A2A0E">
        <w:rPr>
          <w:rFonts w:ascii="Verdana" w:eastAsia="Times New Roman" w:hAnsi="Verdana" w:cs="Times New Roman"/>
          <w:sz w:val="21"/>
          <w:szCs w:val="21"/>
          <w:lang w:eastAsia="ru-RU"/>
        </w:rPr>
        <w:t xml:space="preserve"> листі зазначаються: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дата поїздки;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мета поїздки;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кількість дітей;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lastRenderedPageBreak/>
        <w:t xml:space="preserve">марка та номерний знак </w:t>
      </w:r>
      <w:proofErr w:type="gramStart"/>
      <w:r w:rsidRPr="005A2A0E">
        <w:rPr>
          <w:rFonts w:ascii="Verdana" w:eastAsia="Times New Roman" w:hAnsi="Verdana" w:cs="Times New Roman"/>
          <w:sz w:val="21"/>
          <w:szCs w:val="21"/>
          <w:lang w:eastAsia="ru-RU"/>
        </w:rPr>
        <w:t>транспортного</w:t>
      </w:r>
      <w:proofErr w:type="gramEnd"/>
      <w:r w:rsidRPr="005A2A0E">
        <w:rPr>
          <w:rFonts w:ascii="Verdana" w:eastAsia="Times New Roman" w:hAnsi="Verdana" w:cs="Times New Roman"/>
          <w:sz w:val="21"/>
          <w:szCs w:val="21"/>
          <w:lang w:eastAsia="ru-RU"/>
        </w:rPr>
        <w:t xml:space="preserve"> засобу, що здійснює перевезення;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пр</w:t>
      </w:r>
      <w:proofErr w:type="gramEnd"/>
      <w:r w:rsidRPr="005A2A0E">
        <w:rPr>
          <w:rFonts w:ascii="Verdana" w:eastAsia="Times New Roman" w:hAnsi="Verdana" w:cs="Times New Roman"/>
          <w:sz w:val="21"/>
          <w:szCs w:val="21"/>
          <w:lang w:eastAsia="ru-RU"/>
        </w:rPr>
        <w:t xml:space="preserve">ізвище, ім’я, по батькові водія та номер його телефону;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пр</w:t>
      </w:r>
      <w:proofErr w:type="gramEnd"/>
      <w:r w:rsidRPr="005A2A0E">
        <w:rPr>
          <w:rFonts w:ascii="Verdana" w:eastAsia="Times New Roman" w:hAnsi="Verdana" w:cs="Times New Roman"/>
          <w:sz w:val="21"/>
          <w:szCs w:val="21"/>
          <w:lang w:eastAsia="ru-RU"/>
        </w:rPr>
        <w:t xml:space="preserve">ізвище, ім’я, по батькові керівника групи та номер його телефону;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детальний маршрут руху.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3. У разі виникнення службової необхідності та за наявності відповідного доручення голови Національної поліції супроводження транспортних засобів Міністерства внутрішніх справ та центральних органів виконавчої влади, діяльність яких спрямовує та координує Міні</w:t>
      </w:r>
      <w:proofErr w:type="gramStart"/>
      <w:r w:rsidRPr="005A2A0E">
        <w:rPr>
          <w:rFonts w:ascii="Verdana" w:eastAsia="Times New Roman" w:hAnsi="Verdana" w:cs="Times New Roman"/>
          <w:sz w:val="21"/>
          <w:szCs w:val="21"/>
          <w:lang w:eastAsia="ru-RU"/>
        </w:rPr>
        <w:t>стр</w:t>
      </w:r>
      <w:proofErr w:type="gramEnd"/>
      <w:r w:rsidRPr="005A2A0E">
        <w:rPr>
          <w:rFonts w:ascii="Verdana" w:eastAsia="Times New Roman" w:hAnsi="Verdana" w:cs="Times New Roman"/>
          <w:sz w:val="21"/>
          <w:szCs w:val="21"/>
          <w:lang w:eastAsia="ru-RU"/>
        </w:rPr>
        <w:t xml:space="preserve"> внутрішніх справ України, здійснюється спеціалізованими автомобілями Національної поліції безоплатно.</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ІІІ. Порядок супроводження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1. Супроводження </w:t>
      </w:r>
      <w:proofErr w:type="gramStart"/>
      <w:r w:rsidRPr="005A2A0E">
        <w:rPr>
          <w:rFonts w:ascii="Verdana" w:eastAsia="Times New Roman" w:hAnsi="Verdana" w:cs="Times New Roman"/>
          <w:sz w:val="21"/>
          <w:szCs w:val="21"/>
          <w:lang w:eastAsia="ru-RU"/>
        </w:rPr>
        <w:t>спец</w:t>
      </w:r>
      <w:proofErr w:type="gramEnd"/>
      <w:r w:rsidRPr="005A2A0E">
        <w:rPr>
          <w:rFonts w:ascii="Verdana" w:eastAsia="Times New Roman" w:hAnsi="Verdana" w:cs="Times New Roman"/>
          <w:sz w:val="21"/>
          <w:szCs w:val="21"/>
          <w:lang w:eastAsia="ru-RU"/>
        </w:rPr>
        <w:t xml:space="preserve">іалізованими автомобілями Національної поліції транспортних засобів здійснюється виключно по території обслуговування.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bookmarkStart w:id="0" w:name="o653"/>
      <w:bookmarkEnd w:id="0"/>
      <w:r w:rsidRPr="005A2A0E">
        <w:rPr>
          <w:rFonts w:ascii="Verdana" w:eastAsia="Times New Roman" w:hAnsi="Verdana" w:cs="Times New Roman"/>
          <w:sz w:val="21"/>
          <w:szCs w:val="21"/>
          <w:lang w:eastAsia="ru-RU"/>
        </w:rPr>
        <w:t xml:space="preserve">2. Супроводження здійснюється згідно з Правилами дорожнього руху спеціалізованими автомобілями Національної поліції, які мають спеціальне кольорографічне пофарбування та розпізнавальні знаки, а також обладнані спеціальними </w:t>
      </w:r>
      <w:proofErr w:type="gramStart"/>
      <w:r w:rsidRPr="005A2A0E">
        <w:rPr>
          <w:rFonts w:ascii="Verdana" w:eastAsia="Times New Roman" w:hAnsi="Verdana" w:cs="Times New Roman"/>
          <w:sz w:val="21"/>
          <w:szCs w:val="21"/>
          <w:lang w:eastAsia="ru-RU"/>
        </w:rPr>
        <w:t>св</w:t>
      </w:r>
      <w:proofErr w:type="gramEnd"/>
      <w:r w:rsidRPr="005A2A0E">
        <w:rPr>
          <w:rFonts w:ascii="Verdana" w:eastAsia="Times New Roman" w:hAnsi="Verdana" w:cs="Times New Roman"/>
          <w:sz w:val="21"/>
          <w:szCs w:val="21"/>
          <w:lang w:eastAsia="ru-RU"/>
        </w:rPr>
        <w:t>ітловими і звуковими сигналами.</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3. Супроводження від одного до трьох транспортних засобів, габаритні розміри вантажу та/або вага яких не перевищують нормативні, здійснюється одним </w:t>
      </w:r>
      <w:proofErr w:type="gramStart"/>
      <w:r w:rsidRPr="005A2A0E">
        <w:rPr>
          <w:rFonts w:ascii="Verdana" w:eastAsia="Times New Roman" w:hAnsi="Verdana" w:cs="Times New Roman"/>
          <w:sz w:val="21"/>
          <w:szCs w:val="21"/>
          <w:lang w:eastAsia="ru-RU"/>
        </w:rPr>
        <w:t>спец</w:t>
      </w:r>
      <w:proofErr w:type="gramEnd"/>
      <w:r w:rsidRPr="005A2A0E">
        <w:rPr>
          <w:rFonts w:ascii="Verdana" w:eastAsia="Times New Roman" w:hAnsi="Verdana" w:cs="Times New Roman"/>
          <w:sz w:val="21"/>
          <w:szCs w:val="21"/>
          <w:lang w:eastAsia="ru-RU"/>
        </w:rPr>
        <w:t>іалізованим автомобілем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4. Супроводження колони транспортних засобів (не більше </w:t>
      </w:r>
      <w:proofErr w:type="gramStart"/>
      <w:r w:rsidRPr="005A2A0E">
        <w:rPr>
          <w:rFonts w:ascii="Verdana" w:eastAsia="Times New Roman" w:hAnsi="Verdana" w:cs="Times New Roman"/>
          <w:sz w:val="21"/>
          <w:szCs w:val="21"/>
          <w:lang w:eastAsia="ru-RU"/>
        </w:rPr>
        <w:t>п’яти</w:t>
      </w:r>
      <w:proofErr w:type="gramEnd"/>
      <w:r w:rsidRPr="005A2A0E">
        <w:rPr>
          <w:rFonts w:ascii="Verdana" w:eastAsia="Times New Roman" w:hAnsi="Verdana" w:cs="Times New Roman"/>
          <w:sz w:val="21"/>
          <w:szCs w:val="21"/>
          <w:lang w:eastAsia="ru-RU"/>
        </w:rPr>
        <w:t>), габаритні розміри вантажу та/або вага яких не перевищують нормативні, здійснюється двома спеціалізованими автомобілями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5. У разі необхідності одночасного супроводження понад </w:t>
      </w:r>
      <w:proofErr w:type="gramStart"/>
      <w:r w:rsidRPr="005A2A0E">
        <w:rPr>
          <w:rFonts w:ascii="Verdana" w:eastAsia="Times New Roman" w:hAnsi="Verdana" w:cs="Times New Roman"/>
          <w:sz w:val="21"/>
          <w:szCs w:val="21"/>
          <w:lang w:eastAsia="ru-RU"/>
        </w:rPr>
        <w:t>п’яти</w:t>
      </w:r>
      <w:proofErr w:type="gramEnd"/>
      <w:r w:rsidRPr="005A2A0E">
        <w:rPr>
          <w:rFonts w:ascii="Verdana" w:eastAsia="Times New Roman" w:hAnsi="Verdana" w:cs="Times New Roman"/>
          <w:sz w:val="21"/>
          <w:szCs w:val="21"/>
          <w:lang w:eastAsia="ru-RU"/>
        </w:rPr>
        <w:t xml:space="preserve"> транспортних засобів, габаритні розміри вантажу та/або вага яких не перевищують нормативні, формуються окремі колони, до кожної з яких може входити не більше п’яти транспортних засобів.</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6. Отримавши завдання щодо здійснення супроводження, керівник відповідного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ідрозділу Національної поліції:</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1) вивчає маршрут, за яким здійснюватиметься супроводження, особливості </w:t>
      </w:r>
      <w:r w:rsidRPr="005A2A0E">
        <w:rPr>
          <w:rFonts w:ascii="Verdana" w:eastAsia="Times New Roman" w:hAnsi="Verdana" w:cs="Times New Roman"/>
          <w:sz w:val="21"/>
          <w:szCs w:val="21"/>
          <w:lang w:eastAsia="ru-RU"/>
        </w:rPr>
        <w:lastRenderedPageBreak/>
        <w:t>організації дорожнього руху на ньому, дислокацію постів і маршрутів патрулювання, систему зв’язку і взаємодії з ними екіпажів патрульних транспортних засобі</w:t>
      </w:r>
      <w:proofErr w:type="gramStart"/>
      <w:r w:rsidRPr="005A2A0E">
        <w:rPr>
          <w:rFonts w:ascii="Verdana" w:eastAsia="Times New Roman" w:hAnsi="Verdana" w:cs="Times New Roman"/>
          <w:sz w:val="21"/>
          <w:szCs w:val="21"/>
          <w:lang w:eastAsia="ru-RU"/>
        </w:rPr>
        <w:t>в</w:t>
      </w:r>
      <w:proofErr w:type="gramEnd"/>
      <w:r w:rsidRPr="005A2A0E">
        <w:rPr>
          <w:rFonts w:ascii="Verdana" w:eastAsia="Times New Roman" w:hAnsi="Verdana" w:cs="Times New Roman"/>
          <w:sz w:val="21"/>
          <w:szCs w:val="21"/>
          <w:lang w:eastAsia="ru-RU"/>
        </w:rPr>
        <w:t>, які здійснюють супроводження;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2) призначає </w:t>
      </w:r>
      <w:proofErr w:type="gramStart"/>
      <w:r w:rsidRPr="005A2A0E">
        <w:rPr>
          <w:rFonts w:ascii="Verdana" w:eastAsia="Times New Roman" w:hAnsi="Verdana" w:cs="Times New Roman"/>
          <w:sz w:val="21"/>
          <w:szCs w:val="21"/>
          <w:lang w:eastAsia="ru-RU"/>
        </w:rPr>
        <w:t>старшого</w:t>
      </w:r>
      <w:proofErr w:type="gramEnd"/>
      <w:r w:rsidRPr="005A2A0E">
        <w:rPr>
          <w:rFonts w:ascii="Verdana" w:eastAsia="Times New Roman" w:hAnsi="Verdana" w:cs="Times New Roman"/>
          <w:sz w:val="21"/>
          <w:szCs w:val="21"/>
          <w:lang w:eastAsia="ru-RU"/>
        </w:rPr>
        <w:t xml:space="preserve"> та склад екіпажу (екіпажів) супроводження, проводить інструктаж. Екіпаж патрульного транспортного засобу супроводження складається з двох поліцейських;</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3) організовує огляд транспортних засобів, виділених для супроводження, наявних засобів радіозв’язку, спеціальних </w:t>
      </w:r>
      <w:proofErr w:type="gramStart"/>
      <w:r w:rsidRPr="005A2A0E">
        <w:rPr>
          <w:rFonts w:ascii="Verdana" w:eastAsia="Times New Roman" w:hAnsi="Verdana" w:cs="Times New Roman"/>
          <w:sz w:val="21"/>
          <w:szCs w:val="21"/>
          <w:lang w:eastAsia="ru-RU"/>
        </w:rPr>
        <w:t>св</w:t>
      </w:r>
      <w:proofErr w:type="gramEnd"/>
      <w:r w:rsidRPr="005A2A0E">
        <w:rPr>
          <w:rFonts w:ascii="Verdana" w:eastAsia="Times New Roman" w:hAnsi="Verdana" w:cs="Times New Roman"/>
          <w:sz w:val="21"/>
          <w:szCs w:val="21"/>
          <w:lang w:eastAsia="ru-RU"/>
        </w:rPr>
        <w:t>ітлових і звукових сигналів.</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7. Інструктаж водіїв транспортних засобі</w:t>
      </w:r>
      <w:proofErr w:type="gramStart"/>
      <w:r w:rsidRPr="005A2A0E">
        <w:rPr>
          <w:rFonts w:ascii="Verdana" w:eastAsia="Times New Roman" w:hAnsi="Verdana" w:cs="Times New Roman"/>
          <w:sz w:val="21"/>
          <w:szCs w:val="21"/>
          <w:lang w:eastAsia="ru-RU"/>
        </w:rPr>
        <w:t>в</w:t>
      </w:r>
      <w:proofErr w:type="gramEnd"/>
      <w:r w:rsidRPr="005A2A0E">
        <w:rPr>
          <w:rFonts w:ascii="Verdana" w:eastAsia="Times New Roman" w:hAnsi="Verdana" w:cs="Times New Roman"/>
          <w:sz w:val="21"/>
          <w:szCs w:val="21"/>
          <w:lang w:eastAsia="ru-RU"/>
        </w:rPr>
        <w:t>, які супроводжуються, проводить старший екіпажу супроводження.</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8. Спеціалізований автомобіль у разі супроводження одним спеціалізованим автомобілем, має рухатися перед транспортним засобом або колоною автомобілів, який він супроводжу</w:t>
      </w:r>
      <w:proofErr w:type="gramStart"/>
      <w:r w:rsidRPr="005A2A0E">
        <w:rPr>
          <w:rFonts w:ascii="Verdana" w:eastAsia="Times New Roman" w:hAnsi="Verdana" w:cs="Times New Roman"/>
          <w:sz w:val="21"/>
          <w:szCs w:val="21"/>
          <w:lang w:eastAsia="ru-RU"/>
        </w:rPr>
        <w:t>є,</w:t>
      </w:r>
      <w:proofErr w:type="gramEnd"/>
      <w:r w:rsidRPr="005A2A0E">
        <w:rPr>
          <w:rFonts w:ascii="Verdana" w:eastAsia="Times New Roman" w:hAnsi="Verdana" w:cs="Times New Roman"/>
          <w:sz w:val="21"/>
          <w:szCs w:val="21"/>
          <w:lang w:eastAsia="ru-RU"/>
        </w:rPr>
        <w:t xml:space="preserve"> на відстані, що забезпечує безпеку дорожнього руху. При цьому водій автомобіля супроводження для забезпечення безпеки дорожнього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супроводження повинен обирати смугу руху залежно від ширини проїзної частини, швидкості руху та за потреби, дати можливість іншим учасникам дорожнього руху безпечно випередити/обігнати транспортний засіб або колону.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супроводження двома спеціалізованими автомобілями один з них рухається так, як зазначено вище, а другий – позаду транспортного засобу або колони, який супроводжується, з метою запобігання обгону іншими транспортними засобами в небезпечних місцях.</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xml:space="preserve">9. Швидкість руху </w:t>
      </w:r>
      <w:proofErr w:type="gramStart"/>
      <w:r w:rsidRPr="005A2A0E">
        <w:rPr>
          <w:rFonts w:ascii="Verdana" w:eastAsia="Times New Roman" w:hAnsi="Verdana" w:cs="Times New Roman"/>
          <w:sz w:val="21"/>
          <w:szCs w:val="21"/>
          <w:lang w:eastAsia="ru-RU"/>
        </w:rPr>
        <w:t>п</w:t>
      </w:r>
      <w:proofErr w:type="gramEnd"/>
      <w:r w:rsidRPr="005A2A0E">
        <w:rPr>
          <w:rFonts w:ascii="Verdana" w:eastAsia="Times New Roman" w:hAnsi="Verdana" w:cs="Times New Roman"/>
          <w:sz w:val="21"/>
          <w:szCs w:val="21"/>
          <w:lang w:eastAsia="ru-RU"/>
        </w:rPr>
        <w:t>ід час супроводження встановлюється старшим екіпажу (екіпажів) супроводження з урахуванням характеристик транспортних засобів, які супроводжуються, та забезпечення безпеки дорожнього руху в конкретних дорожніх умовах і не повинна перевищувати меж, установлених Правилами дорожнього руху.</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10. </w:t>
      </w:r>
      <w:proofErr w:type="gramStart"/>
      <w:r w:rsidRPr="005A2A0E">
        <w:rPr>
          <w:rFonts w:ascii="Verdana" w:eastAsia="Times New Roman" w:hAnsi="Verdana" w:cs="Times New Roman"/>
          <w:sz w:val="21"/>
          <w:szCs w:val="21"/>
          <w:lang w:eastAsia="ru-RU"/>
        </w:rPr>
        <w:t>Якщо швидкість руху транспортного засобу або колони, що супроводжується, менша дозволеної Правилами дорожнього руху, а дорожні умови не дозволяють іншим учасникам дорожнього руху здійснити обгін, старший екіпажу або екіпажів супроводження вживає заходів щодо забезпечення проїзду транспортних засобів, що слідують за транспортним засобом або колоною, що супроводжується.</w:t>
      </w:r>
      <w:bookmarkStart w:id="1" w:name="o654"/>
      <w:bookmarkEnd w:id="1"/>
      <w:proofErr w:type="gramEnd"/>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t> </w:t>
      </w:r>
    </w:p>
    <w:p w:rsidR="005A2A0E" w:rsidRPr="005A2A0E" w:rsidRDefault="005A2A0E" w:rsidP="005A2A0E">
      <w:pPr>
        <w:widowControl w:val="0"/>
        <w:shd w:val="clear" w:color="auto" w:fill="FFFFFF"/>
        <w:tabs>
          <w:tab w:val="left" w:pos="874"/>
        </w:tabs>
        <w:autoSpaceDE w:val="0"/>
        <w:autoSpaceDN w:val="0"/>
        <w:adjustRightInd w:val="0"/>
        <w:spacing w:before="100" w:beforeAutospacing="1" w:after="100" w:afterAutospacing="1" w:line="36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eastAsia="ru-RU"/>
        </w:rPr>
        <w:lastRenderedPageBreak/>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Директор Департаменту формування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політики щодо підконтрольних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Міністрові органів влади та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моніторингу МВС                                                               В.Є. Боднар</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АНАЛІЗ РЕГУЛЯТОРНОГО ВПЛИВУ</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Calibri" w:hAnsi="Verdana" w:cs="Times New Roman"/>
          <w:b/>
          <w:sz w:val="21"/>
          <w:szCs w:val="21"/>
          <w:lang w:val="uk-UA" w:eastAsia="ru-RU"/>
        </w:rPr>
        <w:t xml:space="preserve">до проекту </w:t>
      </w:r>
      <w:r w:rsidRPr="005A2A0E">
        <w:rPr>
          <w:rFonts w:ascii="Verdana" w:eastAsia="Times New Roman" w:hAnsi="Verdana" w:cs="Times New Roman"/>
          <w:b/>
          <w:sz w:val="21"/>
          <w:szCs w:val="21"/>
          <w:lang w:val="uk-UA" w:eastAsia="ru-RU"/>
        </w:rPr>
        <w:t>наказу Міністерства внутрішніх справ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І. Визначення проблеми</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Проект наказу Міністерства внутрішніх справ України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 розроблено Департаментом превентивної діяльності Національної поліції України відповідно до Законів України «Про дорожній рух», «Про Національну поліцію», «Про оздоровлення та відпочинок дітей», постанов Кабінету Міністрів України від 18 лютого 1997 року № 176 «Про затвердження Правил надання послуг пасажирського автомобільного транспорту», від 18 січня 2001 року № 30 «Про проїзд великогабаритних та великовагових транспортних засобів автомобільними дорогами, вулицями та залізничними переїздами», від 10 жовтня 2001 року № 1306 «Про Правила дорожнього руху», 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інших нормативно-правових актів, які діють у цій сфері, а також нормативно-правових актів з питань забезпечення безпеки дорожнього руху під час здійснення супроводжень.</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val="uk-UA" w:eastAsia="ru-RU"/>
        </w:rPr>
      </w:pPr>
      <w:r w:rsidRPr="005A2A0E">
        <w:rPr>
          <w:rFonts w:ascii="Verdana" w:eastAsia="Times New Roman" w:hAnsi="Verdana" w:cs="Times New Roman"/>
          <w:color w:val="000000"/>
          <w:sz w:val="21"/>
          <w:szCs w:val="21"/>
          <w:lang w:val="uk-UA" w:eastAsia="ru-RU"/>
        </w:rPr>
        <w:t xml:space="preserve">На сьогодні </w:t>
      </w:r>
      <w:r w:rsidRPr="005A2A0E">
        <w:rPr>
          <w:rFonts w:ascii="Verdana" w:eastAsia="Times New Roman" w:hAnsi="Verdana" w:cs="Times New Roman"/>
          <w:bCs/>
          <w:color w:val="000000"/>
          <w:sz w:val="21"/>
          <w:szCs w:val="21"/>
          <w:lang w:val="uk-UA" w:eastAsia="ru-RU"/>
        </w:rPr>
        <w:t xml:space="preserve">супроводження великогабаритних та великовагових транспортних засобів передбачено Правилами проїзду великогабаритних та великовагових транспортних засобів автомобільними дорогами, вулицями та залізничними переїздами, затвердженими постановою </w:t>
      </w:r>
      <w:r w:rsidRPr="005A2A0E">
        <w:rPr>
          <w:rFonts w:ascii="Verdana" w:eastAsia="Times New Roman" w:hAnsi="Verdana" w:cs="Times New Roman"/>
          <w:color w:val="000000"/>
          <w:sz w:val="21"/>
          <w:szCs w:val="21"/>
          <w:lang w:val="uk-UA" w:eastAsia="ru-RU"/>
        </w:rPr>
        <w:t xml:space="preserve">Кабінету Міністрів України від 18 січня 2001 року № 30. </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val="uk-UA" w:eastAsia="ru-RU"/>
        </w:rPr>
      </w:pPr>
      <w:r w:rsidRPr="005A2A0E">
        <w:rPr>
          <w:rFonts w:ascii="Verdana" w:eastAsia="Times New Roman" w:hAnsi="Verdana" w:cs="Times New Roman"/>
          <w:color w:val="000000"/>
          <w:sz w:val="21"/>
          <w:szCs w:val="21"/>
          <w:lang w:val="uk-UA" w:eastAsia="ru-RU"/>
        </w:rPr>
        <w:t>Постановою Кабінету Міністрів України 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встановлено розмір плати за надання цієї послуги.</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Відповідно до Закону України «Про оздоровлення та відпочинок дітей» представники органів Національної поліції здійснюють супроводження організованих груп дітей безоплатно.</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Разом з тим залишається невизначеною сама процедура організації супроводження, у зв’язку з чим на адресу Національної поліції надходять численні звернення щодо необхідності врегулювання зазначеного питання.</w:t>
      </w:r>
    </w:p>
    <w:p w:rsidR="005A2A0E" w:rsidRPr="005A2A0E" w:rsidRDefault="005A2A0E" w:rsidP="005A2A0E">
      <w:pPr>
        <w:shd w:val="clear" w:color="auto" w:fill="FFFFFF"/>
        <w:tabs>
          <w:tab w:val="left" w:pos="10992"/>
          <w:tab w:val="left" w:pos="11908"/>
          <w:tab w:val="left" w:pos="12824"/>
          <w:tab w:val="left" w:pos="13740"/>
          <w:tab w:val="left" w:pos="14656"/>
        </w:tabs>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На сьогодні відсутні чинні регуляторні акти, за допомогою яких може бути вирішена зазначена проблема.</w:t>
      </w:r>
    </w:p>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Основні групи (підгрупи), на які проблема має вплив: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9"/>
        <w:gridCol w:w="3178"/>
        <w:gridCol w:w="3064"/>
      </w:tblGrid>
      <w:tr w:rsidR="005A2A0E" w:rsidRPr="005A2A0E" w:rsidTr="005A2A0E">
        <w:trPr>
          <w:jc w:val="center"/>
        </w:trPr>
        <w:tc>
          <w:tcPr>
            <w:tcW w:w="347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Групи (підгрупи)</w:t>
            </w:r>
          </w:p>
        </w:tc>
        <w:tc>
          <w:tcPr>
            <w:tcW w:w="34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Так</w:t>
            </w:r>
          </w:p>
        </w:tc>
        <w:tc>
          <w:tcPr>
            <w:tcW w:w="336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Ні</w:t>
            </w:r>
          </w:p>
        </w:tc>
      </w:tr>
      <w:tr w:rsidR="005A2A0E" w:rsidRPr="005A2A0E" w:rsidTr="005A2A0E">
        <w:trPr>
          <w:jc w:val="center"/>
        </w:trPr>
        <w:tc>
          <w:tcPr>
            <w:tcW w:w="347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Громадяни</w:t>
            </w:r>
          </w:p>
        </w:tc>
        <w:tc>
          <w:tcPr>
            <w:tcW w:w="34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w:t>
            </w:r>
          </w:p>
        </w:tc>
        <w:tc>
          <w:tcPr>
            <w:tcW w:w="336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c>
      </w:tr>
      <w:tr w:rsidR="005A2A0E" w:rsidRPr="005A2A0E" w:rsidTr="005A2A0E">
        <w:trPr>
          <w:jc w:val="center"/>
        </w:trPr>
        <w:tc>
          <w:tcPr>
            <w:tcW w:w="347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Держава</w:t>
            </w:r>
          </w:p>
        </w:tc>
        <w:tc>
          <w:tcPr>
            <w:tcW w:w="34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w:t>
            </w:r>
          </w:p>
        </w:tc>
        <w:tc>
          <w:tcPr>
            <w:tcW w:w="336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c>
      </w:tr>
      <w:tr w:rsidR="005A2A0E" w:rsidRPr="005A2A0E" w:rsidTr="005A2A0E">
        <w:trPr>
          <w:jc w:val="center"/>
        </w:trPr>
        <w:tc>
          <w:tcPr>
            <w:tcW w:w="347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Суб’єкти господарювання, у тому числі суб’єкти малого підприємництва</w:t>
            </w:r>
          </w:p>
        </w:tc>
        <w:tc>
          <w:tcPr>
            <w:tcW w:w="34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w:t>
            </w:r>
          </w:p>
        </w:tc>
        <w:tc>
          <w:tcPr>
            <w:tcW w:w="336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c>
      </w:tr>
    </w:tbl>
    <w:p w:rsidR="005A2A0E" w:rsidRPr="005A2A0E" w:rsidRDefault="005A2A0E" w:rsidP="005A2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color w:val="000000"/>
          <w:sz w:val="21"/>
          <w:szCs w:val="21"/>
          <w:lang w:val="uk-UA" w:eastAsia="ru-RU"/>
        </w:rPr>
        <w:t>ІІ. Цілі державного регулювання</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color w:val="000000"/>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Calibri" w:hAnsi="Verdana" w:cs="Times New Roman"/>
          <w:sz w:val="21"/>
          <w:szCs w:val="21"/>
          <w:lang w:val="uk-UA" w:eastAsia="ru-RU"/>
        </w:rPr>
        <w:t xml:space="preserve">Основною метою видання регуляторного акта є </w:t>
      </w:r>
      <w:r w:rsidRPr="005A2A0E">
        <w:rPr>
          <w:rFonts w:ascii="Verdana" w:eastAsia="Times New Roman" w:hAnsi="Verdana" w:cs="Times New Roman"/>
          <w:color w:val="000000"/>
          <w:sz w:val="21"/>
          <w:szCs w:val="21"/>
          <w:lang w:val="uk-UA" w:eastAsia="ru-RU"/>
        </w:rPr>
        <w:t xml:space="preserve">врегулювання </w:t>
      </w:r>
      <w:r w:rsidRPr="005A2A0E">
        <w:rPr>
          <w:rFonts w:ascii="Verdana" w:eastAsia="Times New Roman" w:hAnsi="Verdana" w:cs="Times New Roman"/>
          <w:sz w:val="21"/>
          <w:szCs w:val="21"/>
          <w:lang w:val="uk-UA" w:eastAsia="ru-RU"/>
        </w:rPr>
        <w:t>процедури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r w:rsidRPr="005A2A0E">
        <w:rPr>
          <w:rFonts w:ascii="Verdana" w:eastAsia="Calibri" w:hAnsi="Verdana" w:cs="Times New Roman"/>
          <w:sz w:val="21"/>
          <w:szCs w:val="21"/>
          <w:lang w:val="uk-UA" w:eastAsia="ru-RU"/>
        </w:rPr>
        <w:t xml:space="preserve">. </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ІІІ. Визначення та оцінка альтернативних способів досягнення цілей</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Calibri" w:hAnsi="Verdana" w:cs="Times New Roman"/>
          <w:sz w:val="21"/>
          <w:szCs w:val="21"/>
          <w:lang w:val="uk-UA"/>
        </w:rPr>
        <w:t>1. Визначення альтернативних способів.</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Calibri" w:hAnsi="Verdana" w:cs="Times New Roman"/>
          <w:sz w:val="21"/>
          <w:szCs w:val="21"/>
          <w:lang w:val="uk-U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0"/>
        <w:gridCol w:w="5111"/>
      </w:tblGrid>
      <w:tr w:rsidR="005A2A0E" w:rsidRPr="005A2A0E" w:rsidTr="005A2A0E">
        <w:trPr>
          <w:jc w:val="center"/>
        </w:trPr>
        <w:tc>
          <w:tcPr>
            <w:tcW w:w="478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Вид альтернативи</w:t>
            </w:r>
          </w:p>
        </w:tc>
        <w:tc>
          <w:tcPr>
            <w:tcW w:w="552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Опис альтернативи</w:t>
            </w:r>
          </w:p>
        </w:tc>
      </w:tr>
      <w:tr w:rsidR="005A2A0E" w:rsidRPr="005A2A0E" w:rsidTr="005A2A0E">
        <w:trPr>
          <w:jc w:val="center"/>
        </w:trPr>
        <w:tc>
          <w:tcPr>
            <w:tcW w:w="478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552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Відсутність нормативної бази, що регламентує порядок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tc>
      </w:tr>
      <w:tr w:rsidR="005A2A0E" w:rsidRPr="005A2A0E" w:rsidTr="005A2A0E">
        <w:trPr>
          <w:jc w:val="center"/>
        </w:trPr>
        <w:tc>
          <w:tcPr>
            <w:tcW w:w="478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2.</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Calibri" w:hAnsi="Verdana" w:cs="Times New Roman"/>
                <w:sz w:val="21"/>
                <w:szCs w:val="21"/>
                <w:lang w:val="uk-UA" w:eastAsia="ru-RU"/>
              </w:rPr>
              <w:t xml:space="preserve">Видання </w:t>
            </w:r>
            <w:r w:rsidRPr="005A2A0E">
              <w:rPr>
                <w:rFonts w:ascii="Verdana" w:eastAsia="Times New Roman" w:hAnsi="Verdana" w:cs="Times New Roman"/>
                <w:sz w:val="21"/>
                <w:szCs w:val="21"/>
                <w:lang w:val="uk-UA" w:eastAsia="ru-RU"/>
              </w:rPr>
              <w:t xml:space="preserve">наказу МВС «Про затвердження Інструкції з питань </w:t>
            </w:r>
            <w:r w:rsidRPr="005A2A0E">
              <w:rPr>
                <w:rFonts w:ascii="Verdana" w:eastAsia="Times New Roman" w:hAnsi="Verdana" w:cs="Times New Roman"/>
                <w:sz w:val="21"/>
                <w:szCs w:val="21"/>
                <w:lang w:val="uk-UA" w:eastAsia="ru-RU"/>
              </w:rPr>
              <w:lastRenderedPageBreak/>
              <w:t>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tc>
        <w:tc>
          <w:tcPr>
            <w:tcW w:w="552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overflowPunct w:val="0"/>
              <w:autoSpaceDE w:val="0"/>
              <w:autoSpaceDN w:val="0"/>
              <w:adjustRightInd w:val="0"/>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Урегулювання порядку супроводження транспортних засобів спеціалізованими автомобілями Національної поліції</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 Оцінка вибраних альтернативних способів досягнення цілей.</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Оцінка впливу на сферу інтересів держави.</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3194"/>
        <w:gridCol w:w="3204"/>
      </w:tblGrid>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Вид альтернативи</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Вигоди</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Витрати</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Вигоди відсутні</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 xml:space="preserve">Неврегульованість на рівні держави процедури </w:t>
            </w:r>
            <w:r w:rsidRPr="005A2A0E">
              <w:rPr>
                <w:rFonts w:ascii="Verdana" w:eastAsia="Times New Roman" w:hAnsi="Verdana" w:cs="Times New Roman"/>
                <w:sz w:val="21"/>
                <w:szCs w:val="21"/>
                <w:lang w:val="uk-UA" w:eastAsia="ru-RU"/>
              </w:rPr>
              <w:t>супрово</w:t>
            </w:r>
            <w:r w:rsidRPr="005A2A0E">
              <w:rPr>
                <w:rFonts w:ascii="Verdana" w:eastAsia="Times New Roman" w:hAnsi="Verdana" w:cs="Times New Roman"/>
                <w:sz w:val="21"/>
                <w:szCs w:val="21"/>
                <w:lang w:val="uk-UA" w:eastAsia="ru-RU"/>
              </w:rPr>
              <w:softHyphen/>
              <w:t>дження транспортних засобів спеціалізованими автомобі</w:t>
            </w:r>
            <w:r w:rsidRPr="005A2A0E">
              <w:rPr>
                <w:rFonts w:ascii="Verdana" w:eastAsia="Times New Roman" w:hAnsi="Verdana" w:cs="Times New Roman"/>
                <w:sz w:val="21"/>
                <w:szCs w:val="21"/>
                <w:lang w:val="uk-UA" w:eastAsia="ru-RU"/>
              </w:rPr>
              <w:softHyphen/>
              <w:t>лями Національної поліції</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2.</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w:t>
            </w:r>
            <w:r w:rsidRPr="005A2A0E">
              <w:rPr>
                <w:rFonts w:ascii="Verdana" w:eastAsia="Times New Roman" w:hAnsi="Verdana" w:cs="Times New Roman"/>
                <w:bCs/>
                <w:sz w:val="21"/>
                <w:szCs w:val="21"/>
                <w:lang w:val="uk-UA" w:eastAsia="ru-RU"/>
              </w:rPr>
              <w:t>аказу</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overflowPunct w:val="0"/>
              <w:autoSpaceDE w:val="0"/>
              <w:autoSpaceDN w:val="0"/>
              <w:adjustRightInd w:val="0"/>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Урегулювання порядку супрово</w:t>
            </w:r>
            <w:r w:rsidRPr="005A2A0E">
              <w:rPr>
                <w:rFonts w:ascii="Verdana" w:eastAsia="Times New Roman" w:hAnsi="Verdana" w:cs="Times New Roman"/>
                <w:sz w:val="21"/>
                <w:szCs w:val="21"/>
                <w:lang w:val="uk-UA" w:eastAsia="ru-RU"/>
              </w:rPr>
              <w:softHyphen/>
              <w:t>дження транспортних засобів спеціалізованими авто</w:t>
            </w:r>
            <w:r w:rsidRPr="005A2A0E">
              <w:rPr>
                <w:rFonts w:ascii="Verdana" w:eastAsia="Times New Roman" w:hAnsi="Verdana" w:cs="Times New Roman"/>
                <w:sz w:val="21"/>
                <w:szCs w:val="21"/>
                <w:lang w:val="uk-UA" w:eastAsia="ru-RU"/>
              </w:rPr>
              <w:softHyphen/>
              <w:t>мобілями Національної поліції</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Витрати відсутні</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Оцінка впливу на сферу інтересів громадян.</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2778"/>
        <w:gridCol w:w="3827"/>
      </w:tblGrid>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Вид альтернативи</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 </w:t>
            </w:r>
          </w:p>
        </w:tc>
        <w:tc>
          <w:tcPr>
            <w:tcW w:w="277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Вигоди</w:t>
            </w:r>
          </w:p>
        </w:tc>
        <w:tc>
          <w:tcPr>
            <w:tcW w:w="382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Витрати</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277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Вигоди відсутні</w:t>
            </w:r>
          </w:p>
        </w:tc>
        <w:tc>
          <w:tcPr>
            <w:tcW w:w="382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 xml:space="preserve">Відсутність належного </w:t>
            </w:r>
            <w:r w:rsidRPr="005A2A0E">
              <w:rPr>
                <w:rFonts w:ascii="Verdana" w:eastAsia="Times New Roman" w:hAnsi="Verdana" w:cs="Times New Roman"/>
                <w:sz w:val="21"/>
                <w:szCs w:val="21"/>
                <w:lang w:val="uk-UA" w:eastAsia="ru-RU"/>
              </w:rPr>
              <w:t>врегулюван</w:t>
            </w:r>
            <w:r w:rsidRPr="005A2A0E">
              <w:rPr>
                <w:rFonts w:ascii="Verdana" w:eastAsia="Times New Roman" w:hAnsi="Verdana" w:cs="Times New Roman"/>
                <w:sz w:val="21"/>
                <w:szCs w:val="21"/>
                <w:lang w:val="uk-UA" w:eastAsia="ru-RU"/>
              </w:rPr>
              <w:softHyphen/>
              <w:t>ня порядку супроводження, що створює певні незручності під час оформлення супроводжень. Над</w:t>
            </w:r>
            <w:r w:rsidRPr="005A2A0E">
              <w:rPr>
                <w:rFonts w:ascii="Verdana" w:eastAsia="Times New Roman" w:hAnsi="Verdana" w:cs="Times New Roman"/>
                <w:sz w:val="21"/>
                <w:szCs w:val="21"/>
                <w:lang w:val="uk-UA" w:eastAsia="ru-RU"/>
              </w:rPr>
              <w:softHyphen/>
              <w:t>ходження численних звернень від громадян щодо неналежного врегулювання порядку супрово</w:t>
            </w:r>
            <w:r w:rsidRPr="005A2A0E">
              <w:rPr>
                <w:rFonts w:ascii="Verdana" w:eastAsia="Times New Roman" w:hAnsi="Verdana" w:cs="Times New Roman"/>
                <w:sz w:val="21"/>
                <w:szCs w:val="21"/>
                <w:lang w:val="uk-UA" w:eastAsia="ru-RU"/>
              </w:rPr>
              <w:softHyphen/>
              <w:t>джень</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2.</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w:t>
            </w:r>
            <w:r w:rsidRPr="005A2A0E">
              <w:rPr>
                <w:rFonts w:ascii="Verdana" w:eastAsia="Times New Roman" w:hAnsi="Verdana" w:cs="Times New Roman"/>
                <w:bCs/>
                <w:sz w:val="21"/>
                <w:szCs w:val="21"/>
                <w:lang w:val="uk-UA" w:eastAsia="ru-RU"/>
              </w:rPr>
              <w:t>аказу</w:t>
            </w:r>
          </w:p>
        </w:tc>
        <w:tc>
          <w:tcPr>
            <w:tcW w:w="277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Вирішення проблем зі зверненнями громадян та встановлення чітких вимог щодо порядку супроводження</w:t>
            </w:r>
          </w:p>
        </w:tc>
        <w:tc>
          <w:tcPr>
            <w:tcW w:w="382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Витрати відсутні</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Оцінка впливу на сферу інтересів суб’єктів господарювання*.</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color w:val="FF0000"/>
          <w:sz w:val="21"/>
          <w:szCs w:val="21"/>
          <w:lang w:val="uk-UA"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8"/>
        <w:gridCol w:w="1324"/>
        <w:gridCol w:w="1240"/>
        <w:gridCol w:w="1393"/>
        <w:gridCol w:w="1086"/>
        <w:gridCol w:w="1010"/>
      </w:tblGrid>
      <w:tr w:rsidR="005A2A0E" w:rsidRPr="005A2A0E" w:rsidTr="005A2A0E">
        <w:trPr>
          <w:jc w:val="center"/>
        </w:trPr>
        <w:tc>
          <w:tcPr>
            <w:tcW w:w="36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Показник</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c>
          <w:tcPr>
            <w:tcW w:w="135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Великі</w:t>
            </w:r>
          </w:p>
        </w:tc>
        <w:tc>
          <w:tcPr>
            <w:tcW w:w="1249"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Середні</w:t>
            </w:r>
          </w:p>
        </w:tc>
        <w:tc>
          <w:tcPr>
            <w:tcW w:w="145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Малі</w:t>
            </w:r>
          </w:p>
        </w:tc>
        <w:tc>
          <w:tcPr>
            <w:tcW w:w="110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Мікро</w:t>
            </w:r>
          </w:p>
        </w:tc>
        <w:tc>
          <w:tcPr>
            <w:tcW w:w="101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Разом</w:t>
            </w:r>
          </w:p>
        </w:tc>
      </w:tr>
      <w:tr w:rsidR="005A2A0E" w:rsidRPr="005A2A0E" w:rsidTr="005A2A0E">
        <w:trPr>
          <w:jc w:val="center"/>
        </w:trPr>
        <w:tc>
          <w:tcPr>
            <w:tcW w:w="36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Кількість суб’єктів господарювання, що підпадають під регулювання (одиниць)</w:t>
            </w:r>
          </w:p>
        </w:tc>
        <w:tc>
          <w:tcPr>
            <w:tcW w:w="135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249"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45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01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r>
      <w:tr w:rsidR="005A2A0E" w:rsidRPr="005A2A0E" w:rsidTr="005A2A0E">
        <w:trPr>
          <w:jc w:val="center"/>
        </w:trPr>
        <w:tc>
          <w:tcPr>
            <w:tcW w:w="367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Питома вага групи у загальній кількості (у відсотках)</w:t>
            </w:r>
          </w:p>
        </w:tc>
        <w:tc>
          <w:tcPr>
            <w:tcW w:w="135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249"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45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100%</w:t>
            </w:r>
          </w:p>
        </w:tc>
        <w:tc>
          <w:tcPr>
            <w:tcW w:w="110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w:t>
            </w:r>
          </w:p>
        </w:tc>
        <w:tc>
          <w:tcPr>
            <w:tcW w:w="101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100%</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За даними за 2016 рік</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3"/>
        <w:gridCol w:w="3194"/>
        <w:gridCol w:w="3194"/>
      </w:tblGrid>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Вид альтернативи</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Вигоди</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Витрати</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Вигоди відсутні</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 xml:space="preserve">Відсутність належного </w:t>
            </w:r>
            <w:r w:rsidRPr="005A2A0E">
              <w:rPr>
                <w:rFonts w:ascii="Verdana" w:eastAsia="Times New Roman" w:hAnsi="Verdana" w:cs="Times New Roman"/>
                <w:sz w:val="21"/>
                <w:szCs w:val="21"/>
                <w:lang w:val="uk-UA" w:eastAsia="ru-RU"/>
              </w:rPr>
              <w:t>врегулювання порядку супрово</w:t>
            </w:r>
            <w:r w:rsidRPr="005A2A0E">
              <w:rPr>
                <w:rFonts w:ascii="Verdana" w:eastAsia="Times New Roman" w:hAnsi="Verdana" w:cs="Times New Roman"/>
                <w:sz w:val="21"/>
                <w:szCs w:val="21"/>
                <w:lang w:val="uk-UA" w:eastAsia="ru-RU"/>
              </w:rPr>
              <w:softHyphen/>
              <w:t>джен</w:t>
            </w:r>
            <w:r w:rsidRPr="005A2A0E">
              <w:rPr>
                <w:rFonts w:ascii="Verdana" w:eastAsia="Times New Roman" w:hAnsi="Verdana" w:cs="Times New Roman"/>
                <w:sz w:val="21"/>
                <w:szCs w:val="21"/>
                <w:lang w:val="uk-UA" w:eastAsia="ru-RU"/>
              </w:rPr>
              <w:softHyphen/>
              <w:t>ня, що створює певні незручності під час оформ</w:t>
            </w:r>
            <w:r w:rsidRPr="005A2A0E">
              <w:rPr>
                <w:rFonts w:ascii="Verdana" w:eastAsia="Times New Roman" w:hAnsi="Verdana" w:cs="Times New Roman"/>
                <w:sz w:val="21"/>
                <w:szCs w:val="21"/>
                <w:lang w:val="uk-UA" w:eastAsia="ru-RU"/>
              </w:rPr>
              <w:softHyphen/>
              <w:t>лення супроводжень. Надхо</w:t>
            </w:r>
            <w:r w:rsidRPr="005A2A0E">
              <w:rPr>
                <w:rFonts w:ascii="Verdana" w:eastAsia="Times New Roman" w:hAnsi="Verdana" w:cs="Times New Roman"/>
                <w:sz w:val="21"/>
                <w:szCs w:val="21"/>
                <w:lang w:val="uk-UA" w:eastAsia="ru-RU"/>
              </w:rPr>
              <w:softHyphen/>
              <w:t>дження численних звернень від суб’єктів господарювання щодо неналежного врегулю</w:t>
            </w:r>
            <w:r w:rsidRPr="005A2A0E">
              <w:rPr>
                <w:rFonts w:ascii="Verdana" w:eastAsia="Times New Roman" w:hAnsi="Verdana" w:cs="Times New Roman"/>
                <w:sz w:val="21"/>
                <w:szCs w:val="21"/>
                <w:lang w:val="uk-UA" w:eastAsia="ru-RU"/>
              </w:rPr>
              <w:softHyphen/>
              <w:t>вання порядку супроводжень</w:t>
            </w:r>
          </w:p>
        </w:tc>
      </w:tr>
      <w:tr w:rsidR="005A2A0E" w:rsidRPr="005A2A0E" w:rsidTr="005A2A0E">
        <w:trPr>
          <w:jc w:val="center"/>
        </w:trPr>
        <w:tc>
          <w:tcPr>
            <w:tcW w:w="32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2.</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w:t>
            </w:r>
            <w:r w:rsidRPr="005A2A0E">
              <w:rPr>
                <w:rFonts w:ascii="Verdana" w:eastAsia="Times New Roman" w:hAnsi="Verdana" w:cs="Times New Roman"/>
                <w:bCs/>
                <w:sz w:val="21"/>
                <w:szCs w:val="21"/>
                <w:lang w:val="uk-UA" w:eastAsia="ru-RU"/>
              </w:rPr>
              <w:t>аказу</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Чітка процедура організації супроводжень, що знизить кількість звернень від суб’єктів господарювання щодо нен</w:t>
            </w:r>
            <w:r w:rsidRPr="005A2A0E">
              <w:rPr>
                <w:rFonts w:ascii="Verdana" w:eastAsia="Times New Roman" w:hAnsi="Verdana" w:cs="Times New Roman"/>
                <w:bCs/>
                <w:sz w:val="21"/>
                <w:szCs w:val="21"/>
                <w:lang w:val="uk-UA" w:eastAsia="uk-UA"/>
              </w:rPr>
              <w:t xml:space="preserve">алежного </w:t>
            </w:r>
            <w:r w:rsidRPr="005A2A0E">
              <w:rPr>
                <w:rFonts w:ascii="Verdana" w:eastAsia="Times New Roman" w:hAnsi="Verdana" w:cs="Times New Roman"/>
                <w:sz w:val="21"/>
                <w:szCs w:val="21"/>
                <w:lang w:val="uk-UA" w:eastAsia="ru-RU"/>
              </w:rPr>
              <w:t>врегулювання порядку супроводження</w:t>
            </w:r>
          </w:p>
        </w:tc>
        <w:tc>
          <w:tcPr>
            <w:tcW w:w="32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Витрати відсутні</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386"/>
      </w:tblGrid>
      <w:tr w:rsidR="005A2A0E" w:rsidRPr="005A2A0E" w:rsidTr="005A2A0E">
        <w:trPr>
          <w:jc w:val="center"/>
        </w:trPr>
        <w:tc>
          <w:tcPr>
            <w:tcW w:w="450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color w:val="000000"/>
                <w:sz w:val="21"/>
                <w:szCs w:val="21"/>
                <w:lang w:val="uk-UA" w:eastAsia="ru-RU"/>
              </w:rPr>
              <w:t>Сумарні витрати за альтернативами</w:t>
            </w:r>
          </w:p>
        </w:tc>
        <w:tc>
          <w:tcPr>
            <w:tcW w:w="538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color w:val="000000"/>
                <w:sz w:val="21"/>
                <w:szCs w:val="21"/>
                <w:lang w:val="uk-UA" w:eastAsia="ru-RU"/>
              </w:rPr>
              <w:t>Сума витрат, гривень</w:t>
            </w:r>
          </w:p>
        </w:tc>
      </w:tr>
      <w:tr w:rsidR="005A2A0E" w:rsidRPr="005A2A0E" w:rsidTr="005A2A0E">
        <w:trPr>
          <w:jc w:val="center"/>
        </w:trPr>
        <w:tc>
          <w:tcPr>
            <w:tcW w:w="450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xml:space="preserve">Альтернатива 1. Сумарні витрати для суб’єктів господарювання великого і середнього підприємництва згідно з </w:t>
            </w:r>
            <w:r w:rsidRPr="005A2A0E">
              <w:rPr>
                <w:rFonts w:ascii="Verdana" w:eastAsia="Times New Roman" w:hAnsi="Verdana" w:cs="Times New Roman"/>
                <w:color w:val="000000"/>
                <w:sz w:val="21"/>
                <w:szCs w:val="21"/>
                <w:lang w:val="uk-UA" w:eastAsia="ru-RU"/>
              </w:rPr>
              <w:lastRenderedPageBreak/>
              <w:t>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538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1 106 112 грн.</w:t>
            </w:r>
          </w:p>
        </w:tc>
      </w:tr>
      <w:tr w:rsidR="005A2A0E" w:rsidRPr="005A2A0E" w:rsidTr="005A2A0E">
        <w:trPr>
          <w:jc w:val="center"/>
        </w:trPr>
        <w:tc>
          <w:tcPr>
            <w:tcW w:w="450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538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1 106 498,80 грн.</w:t>
            </w:r>
          </w:p>
        </w:tc>
      </w:tr>
    </w:tbl>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b/>
          <w:color w:val="FF0000"/>
          <w:sz w:val="21"/>
          <w:szCs w:val="21"/>
          <w:lang w:val="uk-UA" w:eastAsia="ru-RU"/>
        </w:rPr>
        <w:t>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IV. Вибір найбільш оптимального альтернативного способу досягнення цілей</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2806"/>
        <w:gridCol w:w="3831"/>
      </w:tblGrid>
      <w:tr w:rsidR="005A2A0E" w:rsidRPr="005A2A0E" w:rsidTr="005A2A0E">
        <w:trPr>
          <w:jc w:val="center"/>
        </w:trPr>
        <w:tc>
          <w:tcPr>
            <w:tcW w:w="2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 xml:space="preserve">Рейтинг результативності (досягнення цілей під час вирішення проблеми) </w:t>
            </w:r>
          </w:p>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 </w:t>
            </w:r>
          </w:p>
        </w:tc>
        <w:tc>
          <w:tcPr>
            <w:tcW w:w="285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Бал результативності (за чотири бальною системою оцінки)</w:t>
            </w:r>
          </w:p>
        </w:tc>
        <w:tc>
          <w:tcPr>
            <w:tcW w:w="3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uk-UA"/>
              </w:rPr>
              <w:t>Коментарі щодо присвоєння відповідного бала</w:t>
            </w:r>
          </w:p>
        </w:tc>
      </w:tr>
      <w:tr w:rsidR="005A2A0E" w:rsidRPr="005A2A0E" w:rsidTr="005A2A0E">
        <w:trPr>
          <w:jc w:val="center"/>
        </w:trPr>
        <w:tc>
          <w:tcPr>
            <w:tcW w:w="2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285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w:t>
            </w:r>
          </w:p>
        </w:tc>
        <w:tc>
          <w:tcPr>
            <w:tcW w:w="3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Залишення ситуації без змін, унаслідок чого буде мати місце н</w:t>
            </w:r>
            <w:r w:rsidRPr="005A2A0E">
              <w:rPr>
                <w:rFonts w:ascii="Verdana" w:eastAsia="Times New Roman" w:hAnsi="Verdana" w:cs="Times New Roman"/>
                <w:bCs/>
                <w:sz w:val="21"/>
                <w:szCs w:val="21"/>
                <w:lang w:val="uk-UA" w:eastAsia="uk-UA"/>
              </w:rPr>
              <w:t xml:space="preserve">еврегульованість процедури </w:t>
            </w:r>
            <w:r w:rsidRPr="005A2A0E">
              <w:rPr>
                <w:rFonts w:ascii="Verdana" w:eastAsia="Times New Roman" w:hAnsi="Verdana" w:cs="Times New Roman"/>
                <w:sz w:val="21"/>
                <w:szCs w:val="21"/>
                <w:lang w:val="uk-UA" w:eastAsia="ru-RU"/>
              </w:rPr>
              <w:t>супроводження транспортних засобів спеціалізованими автомобілями Національної поліції</w:t>
            </w:r>
          </w:p>
        </w:tc>
      </w:tr>
      <w:tr w:rsidR="005A2A0E" w:rsidRPr="005A2A0E" w:rsidTr="005A2A0E">
        <w:trPr>
          <w:trHeight w:val="3021"/>
          <w:jc w:val="center"/>
        </w:trPr>
        <w:tc>
          <w:tcPr>
            <w:tcW w:w="2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br w:type="page"/>
              <w:t>Альтернатива 2.</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наказу</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285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w:t>
            </w:r>
          </w:p>
        </w:tc>
        <w:tc>
          <w:tcPr>
            <w:tcW w:w="39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У разі видання запропонованого наказу буде досягнуто цілі щодо </w:t>
            </w:r>
            <w:r w:rsidRPr="005A2A0E">
              <w:rPr>
                <w:rFonts w:ascii="Verdana" w:eastAsia="Times New Roman" w:hAnsi="Verdana" w:cs="Times New Roman"/>
                <w:iCs/>
                <w:sz w:val="21"/>
                <w:szCs w:val="21"/>
                <w:lang w:val="uk-UA" w:eastAsia="ru-RU"/>
              </w:rPr>
              <w:t xml:space="preserve"> врегулювання питань, які виникають під час звернень фізичних та юридичних осіб щодо забезпечення супроводження</w:t>
            </w:r>
            <w:r w:rsidRPr="005A2A0E">
              <w:rPr>
                <w:rFonts w:ascii="Verdana" w:eastAsia="Times New Roman" w:hAnsi="Verdana" w:cs="Times New Roman"/>
                <w:sz w:val="21"/>
                <w:szCs w:val="21"/>
                <w:lang w:val="uk-UA" w:eastAsia="ru-RU"/>
              </w:rPr>
              <w:t xml:space="preserve"> транспортних засобів спеціалізованими автомобілями Національної поліції та безпеки дорожнього руху під час його здійснення</w:t>
            </w:r>
          </w:p>
        </w:tc>
      </w:tr>
    </w:tbl>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291"/>
        <w:gridCol w:w="2163"/>
        <w:gridCol w:w="2673"/>
      </w:tblGrid>
      <w:tr w:rsidR="005A2A0E" w:rsidRPr="005A2A0E" w:rsidTr="005A2A0E">
        <w:trPr>
          <w:jc w:val="center"/>
        </w:trPr>
        <w:tc>
          <w:tcPr>
            <w:tcW w:w="246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Рейтинг результативності</w:t>
            </w:r>
          </w:p>
        </w:tc>
        <w:tc>
          <w:tcPr>
            <w:tcW w:w="237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Вигоди (підсумок)</w:t>
            </w:r>
          </w:p>
        </w:tc>
        <w:tc>
          <w:tcPr>
            <w:tcW w:w="221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Витрати (підсумок)</w:t>
            </w:r>
          </w:p>
        </w:tc>
        <w:tc>
          <w:tcPr>
            <w:tcW w:w="27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Обґрунтування відповідного місця альтернативи у рейтингу</w:t>
            </w:r>
          </w:p>
        </w:tc>
      </w:tr>
      <w:tr w:rsidR="005A2A0E" w:rsidRPr="005A2A0E" w:rsidTr="005A2A0E">
        <w:trPr>
          <w:jc w:val="center"/>
        </w:trPr>
        <w:tc>
          <w:tcPr>
            <w:tcW w:w="246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1.</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Збереження ситуації, яка існує на цей час</w:t>
            </w:r>
          </w:p>
        </w:tc>
        <w:tc>
          <w:tcPr>
            <w:tcW w:w="237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Відсутні</w:t>
            </w:r>
          </w:p>
        </w:tc>
        <w:tc>
          <w:tcPr>
            <w:tcW w:w="221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uk-UA"/>
              </w:rPr>
              <w:t xml:space="preserve">Звернення від громадян </w:t>
            </w:r>
            <w:r w:rsidRPr="005A2A0E">
              <w:rPr>
                <w:rFonts w:ascii="Verdana" w:eastAsia="Times New Roman" w:hAnsi="Verdana" w:cs="Times New Roman"/>
                <w:sz w:val="21"/>
                <w:szCs w:val="21"/>
                <w:lang w:val="uk-UA" w:eastAsia="ru-RU"/>
              </w:rPr>
              <w:t>щодо нен</w:t>
            </w:r>
            <w:r w:rsidRPr="005A2A0E">
              <w:rPr>
                <w:rFonts w:ascii="Verdana" w:eastAsia="Times New Roman" w:hAnsi="Verdana" w:cs="Times New Roman"/>
                <w:bCs/>
                <w:sz w:val="21"/>
                <w:szCs w:val="21"/>
                <w:lang w:val="uk-UA" w:eastAsia="uk-UA"/>
              </w:rPr>
              <w:t xml:space="preserve">алежного </w:t>
            </w:r>
            <w:r w:rsidRPr="005A2A0E">
              <w:rPr>
                <w:rFonts w:ascii="Verdana" w:eastAsia="Times New Roman" w:hAnsi="Verdana" w:cs="Times New Roman"/>
                <w:sz w:val="21"/>
                <w:szCs w:val="21"/>
                <w:lang w:val="uk-UA" w:eastAsia="ru-RU"/>
              </w:rPr>
              <w:t xml:space="preserve">врегулювання та відсутності чіткої </w:t>
            </w:r>
            <w:r w:rsidRPr="005A2A0E">
              <w:rPr>
                <w:rFonts w:ascii="Verdana" w:eastAsia="Times New Roman" w:hAnsi="Verdana" w:cs="Times New Roman"/>
                <w:bCs/>
                <w:sz w:val="21"/>
                <w:szCs w:val="21"/>
                <w:lang w:val="uk-UA" w:eastAsia="uk-UA"/>
              </w:rPr>
              <w:t xml:space="preserve">процедури </w:t>
            </w:r>
            <w:r w:rsidRPr="005A2A0E">
              <w:rPr>
                <w:rFonts w:ascii="Verdana" w:eastAsia="Times New Roman" w:hAnsi="Verdana" w:cs="Times New Roman"/>
                <w:sz w:val="21"/>
                <w:szCs w:val="21"/>
                <w:lang w:val="uk-UA" w:eastAsia="ru-RU"/>
              </w:rPr>
              <w:t>супроводження транспортних засобів</w:t>
            </w:r>
          </w:p>
        </w:tc>
        <w:tc>
          <w:tcPr>
            <w:tcW w:w="27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r>
      <w:tr w:rsidR="005A2A0E" w:rsidRPr="005A2A0E" w:rsidTr="005A2A0E">
        <w:trPr>
          <w:jc w:val="center"/>
        </w:trPr>
        <w:tc>
          <w:tcPr>
            <w:tcW w:w="246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Альтернатива 2.</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наказу</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237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widowControl w:val="0"/>
              <w:autoSpaceDE w:val="0"/>
              <w:autoSpaceDN w:val="0"/>
              <w:adjustRightInd w:val="0"/>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Чітка процедура організації супроводжень, що знизить кількість звернень від громадян щодо нен</w:t>
            </w:r>
            <w:r w:rsidRPr="005A2A0E">
              <w:rPr>
                <w:rFonts w:ascii="Verdana" w:eastAsia="Times New Roman" w:hAnsi="Verdana" w:cs="Times New Roman"/>
                <w:bCs/>
                <w:sz w:val="21"/>
                <w:szCs w:val="21"/>
                <w:lang w:val="uk-UA" w:eastAsia="uk-UA"/>
              </w:rPr>
              <w:t xml:space="preserve">алежного </w:t>
            </w:r>
            <w:r w:rsidRPr="005A2A0E">
              <w:rPr>
                <w:rFonts w:ascii="Verdana" w:eastAsia="Times New Roman" w:hAnsi="Verdana" w:cs="Times New Roman"/>
                <w:sz w:val="21"/>
                <w:szCs w:val="21"/>
                <w:lang w:val="uk-UA" w:eastAsia="ru-RU"/>
              </w:rPr>
              <w:t>врегулювання порядку супроводження</w:t>
            </w:r>
          </w:p>
        </w:tc>
        <w:tc>
          <w:tcPr>
            <w:tcW w:w="221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tabs>
                <w:tab w:val="left" w:pos="-3686"/>
              </w:tabs>
              <w:spacing w:before="100" w:beforeAutospacing="1" w:after="100" w:afterAutospacing="1" w:line="240" w:lineRule="auto"/>
              <w:ind w:right="45"/>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Відсутні</w:t>
            </w:r>
          </w:p>
        </w:tc>
        <w:tc>
          <w:tcPr>
            <w:tcW w:w="279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У рейтингу результативності ця альтернатива на першому місці. При виборі зазначеної альтернативи буде максимально досягнуто цілі державного регулювання</w:t>
            </w:r>
          </w:p>
        </w:tc>
      </w:tr>
    </w:tbl>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bookmarkStart w:id="2" w:name="n207"/>
      <w:bookmarkEnd w:id="2"/>
      <w:r w:rsidRPr="005A2A0E">
        <w:rPr>
          <w:rFonts w:ascii="Verdana" w:eastAsia="Times New Roman" w:hAnsi="Verdana" w:cs="Times New Roman"/>
          <w:b/>
          <w:sz w:val="21"/>
          <w:szCs w:val="21"/>
          <w:lang w:val="uk-UA" w:eastAsia="ru-RU"/>
        </w:rPr>
        <w:t> </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V. Механізм та заходи, які забезпечать розв’язання визначеної проблеми</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Видання наказу МВС «Про затвердження Інструкції з питань супроводження транспортних засобів спеціалізованими автомобілями Національної поліції і забезпечення безпеки дорожнього руху під час його здійснення».</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Інструкцією пропонується чітко врегулювати процедуру подачі заяви, забезпечення супроводження транспортних засобів, оформлення акта виконаних робіт. </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Витрати органів виконавчої влади чи органів місцевого самоврядування, фізичних та юридичних осіб розраховані згідно з М-Тестом.</w:t>
      </w:r>
    </w:p>
    <w:p w:rsidR="005A2A0E" w:rsidRPr="005A2A0E" w:rsidRDefault="005A2A0E" w:rsidP="005A2A0E">
      <w:pPr>
        <w:tabs>
          <w:tab w:val="left" w:pos="-3686"/>
        </w:tabs>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VII. Обґрунтування запропонованого строку дії регуляторного акта</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Передбачається, що регуляторний акт набере чинності відповідно до законодавства. Строк дії регуляторного акта пропонується не обмежувати в часі.</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VIII. Визначення показників результативності дії регуляторного акта</w:t>
      </w:r>
    </w:p>
    <w:p w:rsidR="005A2A0E" w:rsidRPr="005A2A0E" w:rsidRDefault="005A2A0E" w:rsidP="005A2A0E">
      <w:pPr>
        <w:spacing w:before="100" w:beforeAutospacing="1" w:after="100" w:afterAutospacing="1" w:line="240" w:lineRule="auto"/>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Розмір надходжень до державного та місцевих бюджетів і державних цільових фондів, пов’язаних з дією акта,  – 1 106 112 грн. (дані за 2016 рік).</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3" w:name="n36"/>
      <w:bookmarkEnd w:id="3"/>
      <w:r w:rsidRPr="005A2A0E">
        <w:rPr>
          <w:rFonts w:ascii="Verdana" w:eastAsia="Times New Roman" w:hAnsi="Verdana" w:cs="Times New Roman"/>
          <w:sz w:val="21"/>
          <w:szCs w:val="21"/>
          <w:lang w:val="uk-UA" w:eastAsia="ru-RU"/>
        </w:rPr>
        <w:t>Кількість суб’єктів господарювання та/або фізичних осіб, на яких поширюватиметься дія акта, – 8.</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4" w:name="n37"/>
      <w:bookmarkEnd w:id="4"/>
      <w:r w:rsidRPr="005A2A0E">
        <w:rPr>
          <w:rFonts w:ascii="Verdana" w:eastAsia="Times New Roman" w:hAnsi="Verdana" w:cs="Times New Roman"/>
          <w:color w:val="000000"/>
          <w:sz w:val="21"/>
          <w:szCs w:val="21"/>
          <w:lang w:val="uk-UA" w:eastAsia="ru-RU"/>
        </w:rPr>
        <w:t>Розмір коштів і час, що витрачатимуться суб</w:t>
      </w:r>
      <w:r w:rsidRPr="005A2A0E">
        <w:rPr>
          <w:rFonts w:ascii="Verdana" w:eastAsia="Times New Roman" w:hAnsi="Verdana" w:cs="Times New Roman"/>
          <w:sz w:val="21"/>
          <w:szCs w:val="21"/>
          <w:lang w:val="uk-UA" w:eastAsia="ru-RU"/>
        </w:rPr>
        <w:t>’</w:t>
      </w:r>
      <w:r w:rsidRPr="005A2A0E">
        <w:rPr>
          <w:rFonts w:ascii="Verdana" w:eastAsia="Times New Roman" w:hAnsi="Verdana" w:cs="Times New Roman"/>
          <w:color w:val="000000"/>
          <w:sz w:val="21"/>
          <w:szCs w:val="21"/>
          <w:lang w:val="uk-UA" w:eastAsia="ru-RU"/>
        </w:rPr>
        <w:t>єктами господарювання та/або фізичними особами, пов</w:t>
      </w:r>
      <w:r w:rsidRPr="005A2A0E">
        <w:rPr>
          <w:rFonts w:ascii="Verdana" w:eastAsia="Times New Roman" w:hAnsi="Verdana" w:cs="Times New Roman"/>
          <w:sz w:val="21"/>
          <w:szCs w:val="21"/>
          <w:lang w:val="uk-UA" w:eastAsia="ru-RU"/>
        </w:rPr>
        <w:t>’</w:t>
      </w:r>
      <w:r w:rsidRPr="005A2A0E">
        <w:rPr>
          <w:rFonts w:ascii="Verdana" w:eastAsia="Times New Roman" w:hAnsi="Verdana" w:cs="Times New Roman"/>
          <w:color w:val="000000"/>
          <w:sz w:val="21"/>
          <w:szCs w:val="21"/>
          <w:lang w:val="uk-UA" w:eastAsia="ru-RU"/>
        </w:rPr>
        <w:t>язаними з виконанням вимог акта, – 38,68 грн. за 2 год.</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5" w:name="n38"/>
      <w:bookmarkEnd w:id="5"/>
      <w:r w:rsidRPr="005A2A0E">
        <w:rPr>
          <w:rFonts w:ascii="Verdana" w:eastAsia="Times New Roman" w:hAnsi="Verdana" w:cs="Times New Roman"/>
          <w:color w:val="000000"/>
          <w:sz w:val="21"/>
          <w:szCs w:val="21"/>
          <w:lang w:val="uk-UA" w:eastAsia="ru-RU"/>
        </w:rPr>
        <w:t>Рівень поінформованості суб</w:t>
      </w:r>
      <w:r w:rsidRPr="005A2A0E">
        <w:rPr>
          <w:rFonts w:ascii="Verdana" w:eastAsia="Times New Roman" w:hAnsi="Verdana" w:cs="Times New Roman"/>
          <w:sz w:val="21"/>
          <w:szCs w:val="21"/>
          <w:lang w:val="uk-UA" w:eastAsia="ru-RU"/>
        </w:rPr>
        <w:t>’</w:t>
      </w:r>
      <w:r w:rsidRPr="005A2A0E">
        <w:rPr>
          <w:rFonts w:ascii="Verdana" w:eastAsia="Times New Roman" w:hAnsi="Verdana" w:cs="Times New Roman"/>
          <w:color w:val="000000"/>
          <w:sz w:val="21"/>
          <w:szCs w:val="21"/>
          <w:lang w:val="uk-UA" w:eastAsia="ru-RU"/>
        </w:rPr>
        <w:t>єктів господарювання та/або фізичних осіб з основних положень акта – високий.</w:t>
      </w:r>
      <w:r w:rsidRPr="005A2A0E">
        <w:rPr>
          <w:rFonts w:ascii="Verdana" w:eastAsia="Times New Roman" w:hAnsi="Verdana" w:cs="Times New Roman"/>
          <w:color w:val="FF0000"/>
          <w:sz w:val="21"/>
          <w:szCs w:val="21"/>
          <w:lang w:val="uk-UA" w:eastAsia="ru-RU"/>
        </w:rPr>
        <w:t xml:space="preserve"> </w:t>
      </w:r>
      <w:r w:rsidRPr="005A2A0E">
        <w:rPr>
          <w:rFonts w:ascii="Verdana" w:eastAsia="Times New Roman" w:hAnsi="Verdana" w:cs="Times New Roman"/>
          <w:sz w:val="21"/>
          <w:szCs w:val="21"/>
          <w:lang w:val="uk-UA" w:eastAsia="ru-RU"/>
        </w:rPr>
        <w:t xml:space="preserve">Проект </w:t>
      </w:r>
      <w:r w:rsidRPr="005A2A0E">
        <w:rPr>
          <w:rFonts w:ascii="Verdana" w:eastAsia="Calibri" w:hAnsi="Verdana" w:cs="Times New Roman"/>
          <w:sz w:val="21"/>
          <w:szCs w:val="21"/>
          <w:lang w:val="uk-UA"/>
        </w:rPr>
        <w:t xml:space="preserve">акта </w:t>
      </w:r>
      <w:r w:rsidRPr="005A2A0E">
        <w:rPr>
          <w:rFonts w:ascii="Verdana" w:eastAsia="Times New Roman" w:hAnsi="Verdana" w:cs="Times New Roman"/>
          <w:sz w:val="21"/>
          <w:szCs w:val="21"/>
          <w:lang w:val="uk-UA" w:eastAsia="ru-RU"/>
        </w:rPr>
        <w:t>оприлюднено на офіційному веб-сайті Національної поліції України.</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Кількість платних супроводжень – 673 (усього за 2016 рік).</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Кількість безоплатних супроводжень – 5856 (усього за 2016 рік).</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Середня вартість платного супроводження – 1646 грн.</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IX. Визначення заходів, за допомогою яких здійснюватиметься відстеження результативності дії регуляторного акта</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Базове відстеження результативності регуляторного акта буде здійснено через 1 рік після набрання чинності цим актом.</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Повторне відстеження результативності регуляторного акта буде проведено через 2 роки з дня набрання ним чинності.</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 xml:space="preserve">Періодичні відстеження планується здійснювати раз на кожні три роки починаючи з дня закінчення заходів з повторного відстеження результативності цього акта.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Відстеження результативності регуляторного акта буде здійснюватися шляхом аналізу статистичної інформації щодо фактично здійснених супроводжень за даними Національної поліції України.</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 xml:space="preserve">Заступник Голови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Національної поліції України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lastRenderedPageBreak/>
        <w:t>керівник патрульної поліції                                                           О.Ю. Фацевич</w:t>
      </w:r>
    </w:p>
    <w:p w:rsidR="005A2A0E" w:rsidRPr="005A2A0E" w:rsidRDefault="005A2A0E" w:rsidP="005A2A0E">
      <w:pPr>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____.____.2017</w:t>
      </w:r>
    </w:p>
    <w:p w:rsidR="005A2A0E" w:rsidRPr="005A2A0E" w:rsidRDefault="005A2A0E" w:rsidP="005A2A0E">
      <w:pPr>
        <w:widowControl w:val="0"/>
        <w:spacing w:before="100" w:beforeAutospacing="1" w:after="100" w:afterAutospacing="1" w:line="360" w:lineRule="auto"/>
        <w:ind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before="100" w:beforeAutospacing="1" w:after="100" w:afterAutospacing="1" w:line="360" w:lineRule="auto"/>
        <w:ind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xml:space="preserve">Додаток </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до Аналізу регуляторного впливу</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проекту наказу МВС «Про затвердження Інструкції з питань</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супроводження транспортних засобів спеціалізованими</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автомобілями Національної поліції і забезпечення</w:t>
      </w:r>
    </w:p>
    <w:p w:rsidR="005A2A0E" w:rsidRPr="005A2A0E" w:rsidRDefault="005A2A0E" w:rsidP="005A2A0E">
      <w:pPr>
        <w:spacing w:before="100" w:beforeAutospacing="1" w:after="100" w:afterAutospacing="1" w:line="240" w:lineRule="auto"/>
        <w:jc w:val="right"/>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безпеки дорожнього руху під час його здійснення»</w:t>
      </w:r>
    </w:p>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bookmarkStart w:id="6" w:name="n199"/>
      <w:bookmarkEnd w:id="6"/>
      <w:r w:rsidRPr="005A2A0E">
        <w:rPr>
          <w:rFonts w:ascii="Verdana" w:eastAsia="Times New Roman" w:hAnsi="Verdana" w:cs="Times New Roman"/>
          <w:b/>
          <w:bCs/>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b/>
          <w:bCs/>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bCs/>
          <w:color w:val="000000"/>
          <w:sz w:val="21"/>
          <w:szCs w:val="21"/>
          <w:lang w:val="uk-UA" w:eastAsia="ru-RU"/>
        </w:rPr>
        <w:t>ТЕСТ</w:t>
      </w:r>
    </w:p>
    <w:p w:rsidR="005A2A0E" w:rsidRPr="005A2A0E" w:rsidRDefault="005A2A0E" w:rsidP="005A2A0E">
      <w:pPr>
        <w:shd w:val="clear" w:color="auto" w:fill="FFFFFF"/>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bCs/>
          <w:color w:val="000000"/>
          <w:sz w:val="21"/>
          <w:szCs w:val="21"/>
          <w:lang w:val="uk-UA" w:eastAsia="ru-RU"/>
        </w:rPr>
        <w:t>малого підприємництва (М-Тест)</w:t>
      </w:r>
    </w:p>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7" w:name="n200"/>
      <w:bookmarkEnd w:id="7"/>
      <w:r w:rsidRPr="005A2A0E">
        <w:rPr>
          <w:rFonts w:ascii="Verdana" w:eastAsia="Times New Roman" w:hAnsi="Verdana" w:cs="Times New Roman"/>
          <w:color w:val="000000"/>
          <w:sz w:val="21"/>
          <w:szCs w:val="21"/>
          <w:lang w:val="uk-UA" w:eastAsia="ru-RU"/>
        </w:rPr>
        <w:t>1. Консультації з представниками мікро- та малого підприємництва щодо оцінки впливу регулювання</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8" w:name="n201"/>
      <w:bookmarkEnd w:id="8"/>
      <w:r w:rsidRPr="005A2A0E">
        <w:rPr>
          <w:rFonts w:ascii="Verdana" w:eastAsia="Times New Roman" w:hAnsi="Verdana" w:cs="Times New Roman"/>
          <w:color w:val="000000"/>
          <w:sz w:val="21"/>
          <w:szCs w:val="21"/>
          <w:lang w:val="uk-UA"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у період з 21 вересня 2016 року по 24 січня 2017 року.</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4378"/>
        <w:gridCol w:w="1925"/>
        <w:gridCol w:w="2195"/>
      </w:tblGrid>
      <w:tr w:rsidR="005A2A0E" w:rsidRPr="005A2A0E" w:rsidTr="005A2A0E">
        <w:trPr>
          <w:jc w:val="center"/>
        </w:trPr>
        <w:tc>
          <w:tcPr>
            <w:tcW w:w="98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Поряд</w:t>
            </w:r>
            <w:r w:rsidRPr="005A2A0E">
              <w:rPr>
                <w:rFonts w:ascii="Verdana" w:eastAsia="Times New Roman" w:hAnsi="Verdana" w:cs="Times New Roman"/>
                <w:b/>
                <w:sz w:val="21"/>
                <w:szCs w:val="21"/>
                <w:lang w:val="uk-UA" w:eastAsia="ru-RU"/>
              </w:rPr>
              <w:softHyphen/>
              <w:t>ковий номер</w:t>
            </w:r>
          </w:p>
        </w:tc>
        <w:tc>
          <w:tcPr>
            <w:tcW w:w="460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w:t>
            </w:r>
            <w:r w:rsidRPr="005A2A0E">
              <w:rPr>
                <w:rFonts w:ascii="Verdana" w:eastAsia="Times New Roman" w:hAnsi="Verdana" w:cs="Times New Roman"/>
                <w:b/>
                <w:sz w:val="21"/>
                <w:szCs w:val="21"/>
                <w:lang w:val="uk-UA" w:eastAsia="ru-RU"/>
              </w:rPr>
              <w:lastRenderedPageBreak/>
              <w:t>науковців тощо)</w:t>
            </w:r>
          </w:p>
        </w:tc>
        <w:tc>
          <w:tcPr>
            <w:tcW w:w="192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lastRenderedPageBreak/>
              <w:t>Кількість учасників консультацій, осіб</w:t>
            </w:r>
          </w:p>
        </w:tc>
        <w:tc>
          <w:tcPr>
            <w:tcW w:w="223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Основні результати консультацій (опис)</w:t>
            </w:r>
          </w:p>
        </w:tc>
      </w:tr>
      <w:tr w:rsidR="005A2A0E" w:rsidRPr="005A2A0E" w:rsidTr="005A2A0E">
        <w:trPr>
          <w:jc w:val="center"/>
        </w:trPr>
        <w:tc>
          <w:tcPr>
            <w:tcW w:w="98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1</w:t>
            </w:r>
          </w:p>
        </w:tc>
        <w:tc>
          <w:tcPr>
            <w:tcW w:w="460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Робоча зустріч з представниками</w:t>
            </w:r>
          </w:p>
        </w:tc>
        <w:tc>
          <w:tcPr>
            <w:tcW w:w="1927"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w:t>
            </w:r>
          </w:p>
        </w:tc>
        <w:tc>
          <w:tcPr>
            <w:tcW w:w="223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У цілому проект приймається схвально</w:t>
            </w:r>
          </w:p>
        </w:tc>
      </w:tr>
    </w:tbl>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9" w:name="n202"/>
      <w:bookmarkStart w:id="10" w:name="n203"/>
      <w:bookmarkEnd w:id="9"/>
      <w:bookmarkEnd w:id="10"/>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2. Вимірювання впливу регулювання на суб’єктів малого підприємництва (мікро- та малі):</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11" w:name="n204"/>
      <w:bookmarkEnd w:id="11"/>
      <w:r w:rsidRPr="005A2A0E">
        <w:rPr>
          <w:rFonts w:ascii="Verdana" w:eastAsia="Times New Roman" w:hAnsi="Verdana" w:cs="Times New Roman"/>
          <w:color w:val="000000"/>
          <w:sz w:val="21"/>
          <w:szCs w:val="21"/>
          <w:lang w:val="uk-UA" w:eastAsia="ru-RU"/>
        </w:rPr>
        <w:t>кількість суб’єктів малого підприємництва, на яких поширюється регулювання  – 8, у тому числі малого підприємництва  – 6 та мікропідприємництва – 2;</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12" w:name="n205"/>
      <w:bookmarkEnd w:id="12"/>
      <w:r w:rsidRPr="005A2A0E">
        <w:rPr>
          <w:rFonts w:ascii="Verdana" w:eastAsia="Times New Roman" w:hAnsi="Verdana" w:cs="Times New Roman"/>
          <w:color w:val="000000"/>
          <w:sz w:val="21"/>
          <w:szCs w:val="21"/>
          <w:lang w:val="uk-UA" w:eastAsia="ru-RU"/>
        </w:rPr>
        <w:t>питома вага суб’єктів малого підприємництва в загальній кількості суб’єктів господарювання, на яких проблема справляє вплив, – 100%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bookmarkStart w:id="13" w:name="n206"/>
      <w:bookmarkEnd w:id="13"/>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3. Розрахунок витрат суб’єктів малого підприємництва на виконання вимог регулювання*</w:t>
      </w:r>
    </w:p>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550"/>
        <w:gridCol w:w="1984"/>
        <w:gridCol w:w="1983"/>
        <w:gridCol w:w="2267"/>
      </w:tblGrid>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Поряд</w:t>
            </w:r>
            <w:r w:rsidRPr="005A2A0E">
              <w:rPr>
                <w:rFonts w:ascii="Verdana" w:eastAsia="Times New Roman" w:hAnsi="Verdana" w:cs="Times New Roman"/>
                <w:b/>
                <w:sz w:val="21"/>
                <w:szCs w:val="21"/>
                <w:lang w:val="uk-UA" w:eastAsia="ru-RU"/>
              </w:rPr>
              <w:softHyphen/>
              <w:t>ковий номер</w:t>
            </w:r>
          </w:p>
        </w:tc>
        <w:tc>
          <w:tcPr>
            <w:tcW w:w="255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Найменування оцінки</w:t>
            </w:r>
          </w:p>
        </w:tc>
        <w:tc>
          <w:tcPr>
            <w:tcW w:w="19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У перший рік (стартовий рік впровадження регулювання)</w:t>
            </w:r>
          </w:p>
        </w:tc>
        <w:tc>
          <w:tcPr>
            <w:tcW w:w="19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Періодичні (за наступний рік)</w:t>
            </w:r>
          </w:p>
        </w:tc>
        <w:tc>
          <w:tcPr>
            <w:tcW w:w="226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Витрати за</w:t>
            </w:r>
            <w:r w:rsidRPr="005A2A0E">
              <w:rPr>
                <w:rFonts w:ascii="Verdana" w:eastAsia="Times New Roman" w:hAnsi="Verdana" w:cs="Times New Roman"/>
                <w:b/>
                <w:sz w:val="21"/>
                <w:szCs w:val="21"/>
                <w:lang w:val="uk-UA" w:eastAsia="ru-RU"/>
              </w:rPr>
              <w:br/>
              <w:t>п’ять років</w:t>
            </w:r>
          </w:p>
        </w:tc>
      </w:tr>
      <w:tr w:rsidR="005A2A0E" w:rsidRPr="005A2A0E" w:rsidTr="005A2A0E">
        <w:trPr>
          <w:jc w:val="center"/>
        </w:trPr>
        <w:tc>
          <w:tcPr>
            <w:tcW w:w="9889" w:type="dxa"/>
            <w:gridSpan w:val="5"/>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Оцінка «прямих» витрат суб’єктів малого підприємництва на виконання регулювання</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12" w:lineRule="atLeast"/>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Інші процедури: плата за 84 супроводження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84 Х 1646 грн. = 138 264 грн.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84 Х 1646 грн. = 138 264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420 Х 8230 грн. = 3 456 600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Разом, гривень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138 264 грн.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138 264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3 456 600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Кількість суб’єктів господарювання, що повинні виконати вимоги регулювання, одиниць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40</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Сумарно, гривень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1 106 112 грн.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1 106 112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5 530 560 грн.</w:t>
            </w:r>
          </w:p>
        </w:tc>
      </w:tr>
      <w:tr w:rsidR="005A2A0E" w:rsidRPr="005A2A0E" w:rsidTr="005A2A0E">
        <w:trPr>
          <w:jc w:val="center"/>
        </w:trPr>
        <w:tc>
          <w:tcPr>
            <w:tcW w:w="9889" w:type="dxa"/>
            <w:gridSpan w:val="5"/>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shd w:val="clear" w:color="auto" w:fill="FFFFFF"/>
                <w:lang w:val="uk-UA" w:eastAsia="ru-RU"/>
              </w:rPr>
              <w:t>Оцінка вартості адміністративних процедур суб’єктів малого підприємництва щодо виконання регулювання та звітування</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hd w:val="clear" w:color="auto" w:fill="FFFFFF"/>
              <w:spacing w:before="120"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Процедури отримання первинної інформації про вимоги регулю</w:t>
            </w:r>
            <w:r w:rsidRPr="005A2A0E">
              <w:rPr>
                <w:rFonts w:ascii="Verdana" w:eastAsia="Times New Roman" w:hAnsi="Verdana" w:cs="Times New Roman"/>
                <w:color w:val="000000"/>
                <w:sz w:val="21"/>
                <w:szCs w:val="21"/>
                <w:lang w:val="uk-UA" w:eastAsia="ru-RU"/>
              </w:rPr>
              <w:softHyphen/>
              <w:t>вання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0,5 год. Х 19,34 грн. = 9,67 грн.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0,5 год. Х 19,34 грн. = 9,67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2,5 год. Х 19,34 год. = 48,35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shd w:val="clear" w:color="auto" w:fill="FFFFFF"/>
                <w:lang w:val="uk-UA" w:eastAsia="ru-RU"/>
              </w:rPr>
              <w:t>13</w:t>
            </w:r>
          </w:p>
        </w:tc>
        <w:tc>
          <w:tcPr>
            <w:tcW w:w="255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shd w:val="clear" w:color="auto" w:fill="FFFFFF"/>
                <w:lang w:val="uk-UA" w:eastAsia="ru-RU"/>
              </w:rPr>
              <w:t>Інші процедури (орга</w:t>
            </w:r>
            <w:r w:rsidRPr="005A2A0E">
              <w:rPr>
                <w:rFonts w:ascii="Verdana" w:eastAsia="Times New Roman" w:hAnsi="Verdana" w:cs="Times New Roman"/>
                <w:color w:val="000000"/>
                <w:sz w:val="21"/>
                <w:szCs w:val="21"/>
                <w:shd w:val="clear" w:color="auto" w:fill="FFFFFF"/>
                <w:lang w:val="uk-UA" w:eastAsia="ru-RU"/>
              </w:rPr>
              <w:softHyphen/>
              <w:t>нізація супроводжень)</w:t>
            </w:r>
          </w:p>
        </w:tc>
        <w:tc>
          <w:tcPr>
            <w:tcW w:w="19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0,5 год. – складання заяви;</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1,5 год. – оплата вартості послуг із супроводження</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 год. Х 19,34 грн. = 38,68 грн.</w:t>
            </w:r>
          </w:p>
        </w:tc>
        <w:tc>
          <w:tcPr>
            <w:tcW w:w="19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0,5 год. – складання заяви;</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1,5 год. – оплата вартості послуг із супроводження</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 год. Х 19,34 грн. = 38,68 грн.</w:t>
            </w:r>
          </w:p>
        </w:tc>
        <w:tc>
          <w:tcPr>
            <w:tcW w:w="226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2,5 год. – складання заяви;</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7,5 год. – оплата вартості послуг із супроводження</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10 год. Х 19,34 грн. = 193,40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hd w:val="clear" w:color="auto" w:fill="FFFFFF"/>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14</w:t>
            </w:r>
          </w:p>
        </w:tc>
        <w:tc>
          <w:tcPr>
            <w:tcW w:w="255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hd w:val="clear" w:color="auto" w:fill="FFFFFF"/>
              <w:spacing w:before="100" w:beforeAutospacing="1" w:after="100" w:afterAutospacing="1"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Разом, гривень</w:t>
            </w:r>
          </w:p>
        </w:tc>
        <w:tc>
          <w:tcPr>
            <w:tcW w:w="198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48,35 грн.</w:t>
            </w:r>
          </w:p>
        </w:tc>
        <w:tc>
          <w:tcPr>
            <w:tcW w:w="198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48,35 грн.</w:t>
            </w:r>
          </w:p>
        </w:tc>
        <w:tc>
          <w:tcPr>
            <w:tcW w:w="226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241,75 грн.</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12" w:lineRule="atLeast"/>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pacing w:val="-4"/>
                <w:sz w:val="21"/>
                <w:szCs w:val="21"/>
                <w:lang w:val="uk-UA" w:eastAsia="ru-RU"/>
              </w:rPr>
              <w:t>Кількість суб’єктів ма</w:t>
            </w:r>
            <w:r w:rsidRPr="005A2A0E">
              <w:rPr>
                <w:rFonts w:ascii="Verdana" w:eastAsia="Times New Roman" w:hAnsi="Verdana" w:cs="Times New Roman"/>
                <w:color w:val="000000"/>
                <w:spacing w:val="-4"/>
                <w:sz w:val="21"/>
                <w:szCs w:val="21"/>
                <w:lang w:val="uk-UA" w:eastAsia="ru-RU"/>
              </w:rPr>
              <w:softHyphen/>
              <w:t>лого підприємництва, що повинні виконати вимоги регулювання, одиниць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40</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hd w:val="clear" w:color="auto" w:fill="FFFFFF"/>
              <w:spacing w:before="120" w:after="120"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Сумарно, гривень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386,80 грн.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386,80 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after="120" w:line="240" w:lineRule="auto"/>
              <w:jc w:val="center"/>
              <w:textAlignment w:val="baseline"/>
              <w:rPr>
                <w:rFonts w:ascii="Verdana" w:eastAsia="Times New Roman" w:hAnsi="Verdana" w:cs="Times New Roman"/>
                <w:sz w:val="21"/>
                <w:szCs w:val="21"/>
                <w:lang w:eastAsia="ru-RU"/>
              </w:rPr>
            </w:pPr>
            <w:r w:rsidRPr="005A2A0E">
              <w:rPr>
                <w:rFonts w:ascii="Verdana" w:eastAsia="Verdana" w:hAnsi="Verdana" w:cs="Verdana"/>
                <w:sz w:val="21"/>
                <w:szCs w:val="21"/>
                <w:lang w:val="uk-UA" w:eastAsia="ru-RU"/>
              </w:rPr>
              <w:t>1934</w:t>
            </w:r>
            <w:r w:rsidRPr="005A2A0E">
              <w:rPr>
                <w:rFonts w:ascii="Verdana" w:eastAsia="Verdana" w:hAnsi="Verdana" w:cs="Times New Roman"/>
                <w:sz w:val="21"/>
                <w:szCs w:val="21"/>
                <w:lang w:val="uk-UA" w:eastAsia="ru-RU"/>
              </w:rPr>
              <w:t xml:space="preserve">    </w:t>
            </w:r>
            <w:r w:rsidRPr="005A2A0E">
              <w:rPr>
                <w:rFonts w:ascii="Verdana" w:eastAsia="Times New Roman" w:hAnsi="Verdana" w:cs="Times New Roman"/>
                <w:sz w:val="21"/>
                <w:szCs w:val="21"/>
                <w:lang w:val="uk-UA" w:eastAsia="ru-RU"/>
              </w:rPr>
              <w:t>.</w:t>
            </w:r>
          </w:p>
        </w:tc>
      </w:tr>
    </w:tbl>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*За даними за 2016 рік (витрати за супроводження розраховані відповідно до постанови Кабінету Міністрів України від 0</w:t>
      </w:r>
      <w:r w:rsidRPr="005A2A0E">
        <w:rPr>
          <w:rFonts w:ascii="Verdana" w:eastAsia="Times New Roman" w:hAnsi="Verdana" w:cs="Times New Roman"/>
          <w:bCs/>
          <w:sz w:val="21"/>
          <w:szCs w:val="21"/>
          <w:bdr w:val="none" w:sz="0" w:space="0" w:color="auto" w:frame="1"/>
          <w:lang w:val="uk-UA" w:eastAsia="ru-RU"/>
        </w:rPr>
        <w:t>4 червня 2007 року № 795</w:t>
      </w:r>
      <w:r w:rsidRPr="005A2A0E">
        <w:rPr>
          <w:rFonts w:ascii="Verdana" w:eastAsia="Times New Roman" w:hAnsi="Verdana" w:cs="Times New Roman"/>
          <w:sz w:val="21"/>
          <w:szCs w:val="21"/>
          <w:lang w:val="uk-UA" w:eastAsia="ru-RU"/>
        </w:rPr>
        <w:t>).</w:t>
      </w:r>
    </w:p>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xml:space="preserve">Державний орган, для якого здійснюється розрахунок адміністрування регулювання: Національна поліція </w:t>
      </w:r>
      <w:bookmarkStart w:id="14" w:name="n193"/>
      <w:bookmarkEnd w:id="14"/>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2269"/>
        <w:gridCol w:w="1702"/>
        <w:gridCol w:w="1134"/>
        <w:gridCol w:w="1134"/>
        <w:gridCol w:w="1275"/>
      </w:tblGrid>
      <w:tr w:rsidR="005A2A0E" w:rsidRPr="005A2A0E" w:rsidTr="005A2A0E">
        <w:trPr>
          <w:jc w:val="center"/>
        </w:trPr>
        <w:tc>
          <w:tcPr>
            <w:tcW w:w="223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226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Вартість часу співробітника органу державної влади відповідної категорії (заробітна плата)</w:t>
            </w:r>
          </w:p>
        </w:tc>
        <w:tc>
          <w:tcPr>
            <w:tcW w:w="113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Оцінка кількості процедур за рік, що припада</w:t>
            </w:r>
            <w:r w:rsidRPr="005A2A0E">
              <w:rPr>
                <w:rFonts w:ascii="Verdana" w:eastAsia="Times New Roman" w:hAnsi="Verdana" w:cs="Times New Roman"/>
                <w:b/>
                <w:sz w:val="21"/>
                <w:szCs w:val="21"/>
                <w:lang w:val="uk-UA" w:eastAsia="ru-RU"/>
              </w:rPr>
              <w:softHyphen/>
              <w:t>ють на одного суб’єкта</w:t>
            </w:r>
          </w:p>
        </w:tc>
        <w:tc>
          <w:tcPr>
            <w:tcW w:w="113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Оцінка кількості  суб’єктів, що підпада</w:t>
            </w:r>
            <w:r w:rsidRPr="005A2A0E">
              <w:rPr>
                <w:rFonts w:ascii="Verdana" w:eastAsia="Times New Roman" w:hAnsi="Verdana" w:cs="Times New Roman"/>
                <w:b/>
                <w:sz w:val="21"/>
                <w:szCs w:val="21"/>
                <w:lang w:val="uk-UA" w:eastAsia="ru-RU"/>
              </w:rPr>
              <w:softHyphen/>
              <w:t>ють під дію про</w:t>
            </w:r>
            <w:r w:rsidRPr="005A2A0E">
              <w:rPr>
                <w:rFonts w:ascii="Verdana" w:eastAsia="Times New Roman" w:hAnsi="Verdana" w:cs="Times New Roman"/>
                <w:b/>
                <w:sz w:val="21"/>
                <w:szCs w:val="21"/>
                <w:lang w:val="uk-UA" w:eastAsia="ru-RU"/>
              </w:rPr>
              <w:softHyphen/>
              <w:t>цеду</w:t>
            </w:r>
            <w:r w:rsidRPr="005A2A0E">
              <w:rPr>
                <w:rFonts w:ascii="Verdana" w:eastAsia="Times New Roman" w:hAnsi="Verdana" w:cs="Times New Roman"/>
                <w:b/>
                <w:sz w:val="21"/>
                <w:szCs w:val="21"/>
                <w:lang w:val="uk-UA" w:eastAsia="ru-RU"/>
              </w:rPr>
              <w:softHyphen/>
              <w:t>ри регулю</w:t>
            </w:r>
            <w:r w:rsidRPr="005A2A0E">
              <w:rPr>
                <w:rFonts w:ascii="Verdana" w:eastAsia="Times New Roman" w:hAnsi="Verdana" w:cs="Times New Roman"/>
                <w:b/>
                <w:sz w:val="21"/>
                <w:szCs w:val="21"/>
                <w:lang w:val="uk-UA" w:eastAsia="ru-RU"/>
              </w:rPr>
              <w:softHyphen/>
              <w:t>вання</w:t>
            </w:r>
          </w:p>
        </w:tc>
        <w:tc>
          <w:tcPr>
            <w:tcW w:w="127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Витрати на адмініст</w:t>
            </w:r>
            <w:r w:rsidRPr="005A2A0E">
              <w:rPr>
                <w:rFonts w:ascii="Verdana" w:eastAsia="Times New Roman" w:hAnsi="Verdana" w:cs="Times New Roman"/>
                <w:b/>
                <w:sz w:val="21"/>
                <w:szCs w:val="21"/>
                <w:lang w:val="uk-UA" w:eastAsia="ru-RU"/>
              </w:rPr>
              <w:softHyphen/>
              <w:t>рування регулю</w:t>
            </w:r>
            <w:r w:rsidRPr="005A2A0E">
              <w:rPr>
                <w:rFonts w:ascii="Verdana" w:eastAsia="Times New Roman" w:hAnsi="Verdana" w:cs="Times New Roman"/>
                <w:b/>
                <w:sz w:val="21"/>
                <w:szCs w:val="21"/>
                <w:lang w:val="uk-UA" w:eastAsia="ru-RU"/>
              </w:rPr>
              <w:softHyphen/>
              <w:t>вання (за рік), гривень</w:t>
            </w:r>
          </w:p>
        </w:tc>
      </w:tr>
      <w:tr w:rsidR="005A2A0E" w:rsidRPr="005A2A0E" w:rsidTr="005A2A0E">
        <w:trPr>
          <w:jc w:val="center"/>
        </w:trPr>
        <w:tc>
          <w:tcPr>
            <w:tcW w:w="223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7. Інші адміністра</w:t>
            </w:r>
            <w:r w:rsidRPr="005A2A0E">
              <w:rPr>
                <w:rFonts w:ascii="Verdana" w:eastAsia="Times New Roman" w:hAnsi="Verdana" w:cs="Times New Roman"/>
                <w:sz w:val="21"/>
                <w:szCs w:val="21"/>
                <w:lang w:val="uk-UA" w:eastAsia="ru-RU"/>
              </w:rPr>
              <w:softHyphen/>
              <w:t xml:space="preserve">тивні процедури: </w:t>
            </w:r>
            <w:r w:rsidRPr="005A2A0E">
              <w:rPr>
                <w:rFonts w:ascii="Verdana" w:eastAsia="Times New Roman" w:hAnsi="Verdana" w:cs="Times New Roman"/>
                <w:sz w:val="21"/>
                <w:szCs w:val="21"/>
                <w:lang w:val="uk-UA" w:eastAsia="ru-RU"/>
              </w:rPr>
              <w:lastRenderedPageBreak/>
              <w:t>організація супроводження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0,5 год. – підго</w:t>
            </w:r>
            <w:r w:rsidRPr="005A2A0E">
              <w:rPr>
                <w:rFonts w:ascii="Verdana" w:eastAsia="Times New Roman" w:hAnsi="Verdana" w:cs="Times New Roman"/>
                <w:color w:val="000000"/>
                <w:sz w:val="21"/>
                <w:szCs w:val="21"/>
                <w:lang w:val="uk-UA" w:eastAsia="ru-RU"/>
              </w:rPr>
              <w:softHyphen/>
              <w:t>товка доручення</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1 год. – вистав</w:t>
            </w:r>
            <w:r w:rsidRPr="005A2A0E">
              <w:rPr>
                <w:rFonts w:ascii="Verdana" w:eastAsia="Times New Roman" w:hAnsi="Verdana" w:cs="Times New Roman"/>
                <w:color w:val="000000"/>
                <w:sz w:val="21"/>
                <w:szCs w:val="21"/>
                <w:lang w:val="uk-UA" w:eastAsia="ru-RU"/>
              </w:rPr>
              <w:softHyphen/>
              <w:t>лення рахунку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lastRenderedPageBreak/>
              <w:t>1 год. – 55,63 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 </w:t>
            </w:r>
          </w:p>
        </w:tc>
      </w:tr>
      <w:tr w:rsidR="005A2A0E" w:rsidRPr="005A2A0E" w:rsidTr="005A2A0E">
        <w:trPr>
          <w:jc w:val="center"/>
        </w:trPr>
        <w:tc>
          <w:tcPr>
            <w:tcW w:w="223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Разом за рік</w:t>
            </w:r>
          </w:p>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1,5 год.</w:t>
            </w:r>
          </w:p>
        </w:tc>
        <w:tc>
          <w:tcPr>
            <w:tcW w:w="17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83,44 грн.</w:t>
            </w:r>
          </w:p>
        </w:tc>
        <w:tc>
          <w:tcPr>
            <w:tcW w:w="113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7 008,96 грн.</w:t>
            </w:r>
          </w:p>
        </w:tc>
      </w:tr>
      <w:tr w:rsidR="005A2A0E" w:rsidRPr="005A2A0E" w:rsidTr="005A2A0E">
        <w:trPr>
          <w:jc w:val="center"/>
        </w:trPr>
        <w:tc>
          <w:tcPr>
            <w:tcW w:w="2235"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Сумарно за п’ять років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7,5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417,20 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420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00" w:afterAutospacing="1"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000000"/>
                <w:sz w:val="21"/>
                <w:szCs w:val="21"/>
                <w:lang w:val="uk-UA" w:eastAsia="ru-RU"/>
              </w:rPr>
              <w:t>35 044,80 грн.</w:t>
            </w:r>
          </w:p>
        </w:tc>
      </w:tr>
    </w:tbl>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color w:val="FF0000"/>
          <w:sz w:val="21"/>
          <w:szCs w:val="21"/>
          <w:lang w:val="uk-UA" w:eastAsia="ru-RU"/>
        </w:rPr>
        <w:t> </w:t>
      </w:r>
    </w:p>
    <w:p w:rsidR="005A2A0E" w:rsidRPr="005A2A0E" w:rsidRDefault="005A2A0E" w:rsidP="005A2A0E">
      <w:pPr>
        <w:shd w:val="clear" w:color="auto" w:fill="FFFFFF"/>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 Розрахунок сумарних витрат суб’єктів малого підприємництва, що виникають на виконання вимог регулювання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3996"/>
        <w:gridCol w:w="2377"/>
        <w:gridCol w:w="2099"/>
      </w:tblGrid>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Поряд</w:t>
            </w:r>
            <w:r w:rsidRPr="005A2A0E">
              <w:rPr>
                <w:rFonts w:ascii="Verdana" w:eastAsia="Times New Roman" w:hAnsi="Verdana" w:cs="Times New Roman"/>
                <w:b/>
                <w:sz w:val="21"/>
                <w:szCs w:val="21"/>
                <w:lang w:val="uk-UA" w:eastAsia="ru-RU"/>
              </w:rPr>
              <w:softHyphen/>
              <w:t>ковий номер</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Показник</w:t>
            </w:r>
          </w:p>
        </w:tc>
        <w:tc>
          <w:tcPr>
            <w:tcW w:w="24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Перший рік регулювання (стартовий)</w:t>
            </w:r>
          </w:p>
        </w:tc>
        <w:tc>
          <w:tcPr>
            <w:tcW w:w="2126"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20"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За п’ять років</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Оцінка “прямих” витрат суб’єктів малого підприємництва на виконання регулювання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1 106 112 грн.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5 530 560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2</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386,80 грн.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1 934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Сумарні витрати малого підприємництва на виконання запланованого  регулювання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1 106 498,80 грн.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5 532 494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4</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Бюджетні витрати  на адміністрування регулювання суб’єктів малого підприємництва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7 008,96 грн.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35 044,80 грн.</w:t>
            </w:r>
          </w:p>
        </w:tc>
      </w:tr>
      <w:tr w:rsidR="005A2A0E" w:rsidRPr="005A2A0E" w:rsidTr="005A2A0E">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w:t>
            </w:r>
          </w:p>
        </w:tc>
        <w:tc>
          <w:tcPr>
            <w:tcW w:w="411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20" w:line="240" w:lineRule="auto"/>
              <w:jc w:val="both"/>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Сумарні витрати на виконання запланованого регулювання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1 113 507,76 грн.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2A0E" w:rsidRPr="005A2A0E" w:rsidRDefault="005A2A0E" w:rsidP="005A2A0E">
            <w:pPr>
              <w:spacing w:before="100" w:beforeAutospacing="1" w:after="120" w:line="240" w:lineRule="auto"/>
              <w:jc w:val="center"/>
              <w:textAlignment w:val="baseline"/>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5 567 538,80 грн.</w:t>
            </w:r>
          </w:p>
        </w:tc>
      </w:tr>
    </w:tbl>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 xml:space="preserve">Заступник Голови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Національної поліції України –</w:t>
      </w:r>
    </w:p>
    <w:p w:rsidR="005A2A0E" w:rsidRPr="005A2A0E" w:rsidRDefault="005A2A0E" w:rsidP="005A2A0E">
      <w:pPr>
        <w:spacing w:before="100" w:beforeAutospacing="1" w:after="100" w:afterAutospacing="1" w:line="240" w:lineRule="auto"/>
        <w:jc w:val="both"/>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керівник патрульної поліції                                               О.Ю. Фацевич</w:t>
      </w:r>
    </w:p>
    <w:p w:rsidR="005A2A0E" w:rsidRPr="005A2A0E" w:rsidRDefault="005A2A0E" w:rsidP="005A2A0E">
      <w:pPr>
        <w:spacing w:before="100" w:beforeAutospacing="1" w:after="100" w:afterAutospacing="1" w:line="240" w:lineRule="auto"/>
        <w:ind w:right="45"/>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____.____.2017</w:t>
      </w:r>
    </w:p>
    <w:p w:rsidR="005A2A0E" w:rsidRPr="005A2A0E" w:rsidRDefault="005A2A0E" w:rsidP="005A2A0E">
      <w:pPr>
        <w:widowControl w:val="0"/>
        <w:spacing w:before="100" w:beforeAutospacing="1" w:after="100" w:afterAutospacing="1" w:line="360" w:lineRule="auto"/>
        <w:ind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before="100" w:beforeAutospacing="1" w:after="100" w:afterAutospacing="1" w:line="360" w:lineRule="auto"/>
        <w:ind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before="100" w:beforeAutospacing="1" w:after="100" w:afterAutospacing="1" w:line="360" w:lineRule="auto"/>
        <w:ind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 </w:t>
      </w:r>
    </w:p>
    <w:p w:rsidR="005A2A0E" w:rsidRPr="005A2A0E" w:rsidRDefault="005A2A0E" w:rsidP="005A2A0E">
      <w:pPr>
        <w:widowControl w:val="0"/>
        <w:spacing w:after="0" w:line="360" w:lineRule="auto"/>
        <w:ind w:left="20" w:right="-1"/>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Додаток</w:t>
      </w:r>
    </w:p>
    <w:p w:rsidR="005A2A0E" w:rsidRPr="005A2A0E" w:rsidRDefault="005A2A0E" w:rsidP="005A2A0E">
      <w:pPr>
        <w:spacing w:before="100" w:beforeAutospacing="1" w:after="100" w:afterAutospacing="1" w:line="24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 xml:space="preserve">до Інструкції з питань супроводження </w:t>
      </w:r>
      <w:r w:rsidRPr="005A2A0E">
        <w:rPr>
          <w:rFonts w:ascii="Verdana" w:eastAsia="Times New Roman" w:hAnsi="Verdana" w:cs="Times New Roman"/>
          <w:b/>
          <w:bCs/>
          <w:spacing w:val="-4"/>
          <w:sz w:val="21"/>
          <w:szCs w:val="21"/>
          <w:lang w:val="uk-UA" w:eastAsia="ru-RU"/>
        </w:rPr>
        <w:t>транспортних засобів</w:t>
      </w:r>
    </w:p>
    <w:p w:rsidR="005A2A0E" w:rsidRPr="005A2A0E" w:rsidRDefault="005A2A0E" w:rsidP="005A2A0E">
      <w:pPr>
        <w:spacing w:before="100" w:beforeAutospacing="1" w:after="100" w:afterAutospacing="1" w:line="24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bCs/>
          <w:spacing w:val="-4"/>
          <w:sz w:val="21"/>
          <w:szCs w:val="21"/>
          <w:lang w:val="uk-UA" w:eastAsia="ru-RU"/>
        </w:rPr>
        <w:t>спеціалізованими</w:t>
      </w:r>
      <w:r w:rsidRPr="005A2A0E">
        <w:rPr>
          <w:rFonts w:ascii="Verdana" w:eastAsia="Times New Roman" w:hAnsi="Verdana" w:cs="Times New Roman"/>
          <w:b/>
          <w:bCs/>
          <w:sz w:val="21"/>
          <w:szCs w:val="21"/>
          <w:lang w:val="uk-UA" w:eastAsia="ru-RU"/>
        </w:rPr>
        <w:t xml:space="preserve"> автомобілями Національної поліції</w:t>
      </w:r>
    </w:p>
    <w:p w:rsidR="005A2A0E" w:rsidRPr="005A2A0E" w:rsidRDefault="005A2A0E" w:rsidP="005A2A0E">
      <w:pPr>
        <w:spacing w:before="100" w:beforeAutospacing="1" w:after="100" w:afterAutospacing="1" w:line="24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і забезпечення безпеки дорожнього руху</w:t>
      </w:r>
      <w:r w:rsidRPr="005A2A0E">
        <w:rPr>
          <w:rFonts w:ascii="Verdana" w:eastAsia="Times New Roman" w:hAnsi="Verdana" w:cs="Times New Roman"/>
          <w:b/>
          <w:bCs/>
          <w:sz w:val="21"/>
          <w:szCs w:val="21"/>
          <w:lang w:val="uk-UA" w:eastAsia="ru-RU"/>
        </w:rPr>
        <w:t xml:space="preserve"> під час його здійснення</w:t>
      </w:r>
    </w:p>
    <w:p w:rsidR="005A2A0E" w:rsidRPr="005A2A0E" w:rsidRDefault="005A2A0E" w:rsidP="005A2A0E">
      <w:pPr>
        <w:spacing w:before="100" w:beforeAutospacing="1" w:after="100" w:afterAutospacing="1" w:line="240" w:lineRule="auto"/>
        <w:ind w:left="20"/>
        <w:jc w:val="right"/>
        <w:rPr>
          <w:rFonts w:ascii="Verdana" w:eastAsia="Times New Roman" w:hAnsi="Verdana" w:cs="Times New Roman"/>
          <w:sz w:val="21"/>
          <w:szCs w:val="21"/>
          <w:lang w:eastAsia="ru-RU"/>
        </w:rPr>
      </w:pPr>
      <w:r w:rsidRPr="005A2A0E">
        <w:rPr>
          <w:rFonts w:ascii="Verdana" w:eastAsia="Times New Roman" w:hAnsi="Verdana" w:cs="Times New Roman"/>
          <w:b/>
          <w:bCs/>
          <w:sz w:val="21"/>
          <w:szCs w:val="21"/>
          <w:lang w:val="uk-UA" w:eastAsia="ru-RU"/>
        </w:rPr>
        <w:t>(підпункт 4 пункту 1 розділу ІІ)</w:t>
      </w:r>
    </w:p>
    <w:p w:rsidR="005A2A0E" w:rsidRPr="005A2A0E" w:rsidRDefault="005A2A0E" w:rsidP="005A2A0E">
      <w:pPr>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 </w:t>
      </w:r>
    </w:p>
    <w:p w:rsidR="005A2A0E" w:rsidRPr="005A2A0E" w:rsidRDefault="005A2A0E" w:rsidP="005A2A0E">
      <w:pPr>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bCs/>
          <w:sz w:val="21"/>
          <w:szCs w:val="21"/>
          <w:lang w:val="uk-UA" w:eastAsia="ru-RU"/>
        </w:rPr>
        <w:t> </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xml:space="preserve">Акт виконаних робіт № _________ </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від «____» __________________ 20___ року</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Ми, що нижче підписалися,</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представник Національної поліції України в особі ________________________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____________________________________________________________________,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(посада, звання, П.І.Б.)</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з одного боку, та _____________________________________________________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                                                                       (найменування підприємства)</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в особі _____________________________________________________________,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                                                                (посада, П.І.Б.)</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lastRenderedPageBreak/>
        <w:t>з другого боку, склали цей акт про те, що отримано послуги:</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8"/>
        <w:gridCol w:w="1322"/>
        <w:gridCol w:w="1418"/>
        <w:gridCol w:w="992"/>
        <w:gridCol w:w="992"/>
        <w:gridCol w:w="993"/>
      </w:tblGrid>
      <w:tr w:rsidR="005A2A0E" w:rsidRPr="005A2A0E" w:rsidTr="005A2A0E">
        <w:tc>
          <w:tcPr>
            <w:tcW w:w="378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Назва послуги</w:t>
            </w:r>
          </w:p>
        </w:tc>
        <w:tc>
          <w:tcPr>
            <w:tcW w:w="132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Кіль</w:t>
            </w:r>
            <w:r w:rsidRPr="005A2A0E">
              <w:rPr>
                <w:rFonts w:ascii="Verdana" w:eastAsia="Times New Roman" w:hAnsi="Verdana" w:cs="Times New Roman"/>
                <w:b/>
                <w:sz w:val="21"/>
                <w:szCs w:val="21"/>
                <w:lang w:val="uk-UA" w:eastAsia="ru-RU"/>
              </w:rPr>
              <w:softHyphen/>
              <w:t>кість транс</w:t>
            </w:r>
            <w:r w:rsidRPr="005A2A0E">
              <w:rPr>
                <w:rFonts w:ascii="Verdana" w:eastAsia="Times New Roman" w:hAnsi="Verdana" w:cs="Times New Roman"/>
                <w:b/>
                <w:sz w:val="21"/>
                <w:szCs w:val="21"/>
                <w:lang w:val="uk-UA" w:eastAsia="ru-RU"/>
              </w:rPr>
              <w:softHyphen/>
              <w:t>портних засобів, що супро</w:t>
            </w:r>
            <w:r w:rsidRPr="005A2A0E">
              <w:rPr>
                <w:rFonts w:ascii="Verdana" w:eastAsia="Times New Roman" w:hAnsi="Verdana" w:cs="Times New Roman"/>
                <w:b/>
                <w:sz w:val="21"/>
                <w:szCs w:val="21"/>
                <w:lang w:val="uk-UA" w:eastAsia="ru-RU"/>
              </w:rPr>
              <w:softHyphen/>
              <w:t>во</w:t>
            </w:r>
            <w:r w:rsidRPr="005A2A0E">
              <w:rPr>
                <w:rFonts w:ascii="Verdana" w:eastAsia="Times New Roman" w:hAnsi="Verdana" w:cs="Times New Roman"/>
                <w:b/>
                <w:sz w:val="21"/>
                <w:szCs w:val="21"/>
                <w:lang w:val="uk-UA" w:eastAsia="ru-RU"/>
              </w:rPr>
              <w:softHyphen/>
              <w:t>джують</w:t>
            </w:r>
            <w:r w:rsidRPr="005A2A0E">
              <w:rPr>
                <w:rFonts w:ascii="Verdana" w:eastAsia="Times New Roman" w:hAnsi="Verdana" w:cs="Times New Roman"/>
                <w:b/>
                <w:sz w:val="21"/>
                <w:szCs w:val="21"/>
                <w:lang w:val="uk-UA" w:eastAsia="ru-RU"/>
              </w:rPr>
              <w:softHyphen/>
              <w:t>ся</w:t>
            </w:r>
          </w:p>
        </w:tc>
        <w:tc>
          <w:tcPr>
            <w:tcW w:w="141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Кількість автомо</w:t>
            </w:r>
            <w:r w:rsidRPr="005A2A0E">
              <w:rPr>
                <w:rFonts w:ascii="Verdana" w:eastAsia="Times New Roman" w:hAnsi="Verdana" w:cs="Times New Roman"/>
                <w:b/>
                <w:sz w:val="21"/>
                <w:szCs w:val="21"/>
                <w:lang w:val="uk-UA" w:eastAsia="ru-RU"/>
              </w:rPr>
              <w:softHyphen/>
              <w:t>білів Націо</w:t>
            </w:r>
            <w:r w:rsidRPr="005A2A0E">
              <w:rPr>
                <w:rFonts w:ascii="Verdana" w:eastAsia="Times New Roman" w:hAnsi="Verdana" w:cs="Times New Roman"/>
                <w:b/>
                <w:sz w:val="21"/>
                <w:szCs w:val="21"/>
                <w:lang w:val="uk-UA" w:eastAsia="ru-RU"/>
              </w:rPr>
              <w:softHyphen/>
              <w:t>нальної поліції</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Від</w:t>
            </w:r>
            <w:r w:rsidRPr="005A2A0E">
              <w:rPr>
                <w:rFonts w:ascii="Verdana" w:eastAsia="Times New Roman" w:hAnsi="Verdana" w:cs="Times New Roman"/>
                <w:b/>
                <w:sz w:val="21"/>
                <w:szCs w:val="21"/>
                <w:lang w:val="uk-UA" w:eastAsia="ru-RU"/>
              </w:rPr>
              <w:softHyphen/>
              <w:t>стань, км</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Ціна</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c>
          <w:tcPr>
            <w:tcW w:w="99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Сума</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c>
      </w:tr>
      <w:tr w:rsidR="005A2A0E" w:rsidRPr="005A2A0E" w:rsidTr="005A2A0E">
        <w:tc>
          <w:tcPr>
            <w:tcW w:w="3780"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both"/>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Забезпечення супроводження для безпечного перевезення негабаритних, великовагових та небезпечних вантажів, автобусів та інших транспортних засобів спеціалізованими автомобілями Національної поліції з використанням спеціальних світлових або звукових сигналів</w:t>
            </w:r>
          </w:p>
        </w:tc>
        <w:tc>
          <w:tcPr>
            <w:tcW w:w="132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1418"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992"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c>
          <w:tcPr>
            <w:tcW w:w="993" w:type="dxa"/>
            <w:tcBorders>
              <w:top w:val="single" w:sz="4" w:space="0" w:color="auto"/>
              <w:left w:val="single" w:sz="4" w:space="0" w:color="auto"/>
              <w:bottom w:val="single" w:sz="4" w:space="0" w:color="auto"/>
              <w:right w:val="single" w:sz="4" w:space="0" w:color="auto"/>
            </w:tcBorders>
            <w:hideMark/>
          </w:tcPr>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tc>
      </w:tr>
    </w:tbl>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Надано послуг на загальну суму ________________________________________,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                                                                                   (прописом)</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у тому числі ПДВ 20 % у сумі __________________________________________,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згідно з рахунком від __________________________ № 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Послуги надано Національною поліцією України в повному обсязі.</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Претензії (за наявності) ________________________________________________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 </w:t>
      </w:r>
    </w:p>
    <w:tbl>
      <w:tblPr>
        <w:tblW w:w="0" w:type="auto"/>
        <w:tblLook w:val="01E0"/>
      </w:tblPr>
      <w:tblGrid>
        <w:gridCol w:w="4786"/>
        <w:gridCol w:w="4785"/>
      </w:tblGrid>
      <w:tr w:rsidR="005A2A0E" w:rsidRPr="005A2A0E" w:rsidTr="005A2A0E">
        <w:tc>
          <w:tcPr>
            <w:tcW w:w="4927" w:type="dxa"/>
            <w:hideMark/>
          </w:tcPr>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lastRenderedPageBreak/>
              <w:t>Виконавець:</w:t>
            </w:r>
          </w:p>
        </w:tc>
        <w:tc>
          <w:tcPr>
            <w:tcW w:w="4927" w:type="dxa"/>
            <w:hideMark/>
          </w:tcPr>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Замовник:</w:t>
            </w:r>
          </w:p>
        </w:tc>
      </w:tr>
      <w:tr w:rsidR="005A2A0E" w:rsidRPr="005A2A0E" w:rsidTr="005A2A0E">
        <w:tc>
          <w:tcPr>
            <w:tcW w:w="4927" w:type="dxa"/>
            <w:hideMark/>
          </w:tcPr>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(орган поліції, реквізити)</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Представник виконавця</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(посада, П.І.Б.)</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М.П.</w:t>
            </w:r>
          </w:p>
        </w:tc>
        <w:tc>
          <w:tcPr>
            <w:tcW w:w="4927" w:type="dxa"/>
            <w:hideMark/>
          </w:tcPr>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xml:space="preserve">_______________________________ </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(найменування, реквізити)</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b/>
                <w:sz w:val="21"/>
                <w:szCs w:val="21"/>
                <w:lang w:val="uk-UA" w:eastAsia="ru-RU"/>
              </w:rPr>
              <w:t>Представник замовника</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_______________________________</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(посада, П.І.Б.)</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jc w:val="center"/>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М.П. (за наявності)</w:t>
            </w:r>
          </w:p>
        </w:tc>
      </w:tr>
    </w:tbl>
    <w:p w:rsidR="005A2A0E" w:rsidRPr="005A2A0E" w:rsidRDefault="005A2A0E" w:rsidP="005A2A0E">
      <w:pPr>
        <w:spacing w:before="100" w:beforeAutospacing="1" w:after="100" w:afterAutospacing="1" w:line="240" w:lineRule="auto"/>
        <w:ind w:left="20"/>
        <w:rPr>
          <w:rFonts w:ascii="Verdana" w:eastAsia="Times New Roman" w:hAnsi="Verdana" w:cs="Times New Roman"/>
          <w:sz w:val="21"/>
          <w:szCs w:val="21"/>
          <w:lang w:eastAsia="ru-RU"/>
        </w:rPr>
      </w:pPr>
      <w:r w:rsidRPr="005A2A0E">
        <w:rPr>
          <w:rFonts w:ascii="Verdana" w:eastAsia="Times New Roman" w:hAnsi="Verdana" w:cs="Times New Roman"/>
          <w:sz w:val="21"/>
          <w:szCs w:val="21"/>
          <w:lang w:val="uk-UA" w:eastAsia="ru-RU"/>
        </w:rPr>
        <w:t> </w:t>
      </w:r>
    </w:p>
    <w:p w:rsidR="005A2A0E" w:rsidRPr="005A2A0E" w:rsidRDefault="005A2A0E">
      <w:pPr>
        <w:rPr>
          <w:rFonts w:ascii="Verdana" w:hAnsi="Verdana"/>
          <w:sz w:val="21"/>
          <w:szCs w:val="21"/>
        </w:rPr>
      </w:pPr>
    </w:p>
    <w:sectPr w:rsidR="005A2A0E" w:rsidRPr="005A2A0E" w:rsidSect="00B947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A2A0E"/>
    <w:rsid w:val="00022F1B"/>
    <w:rsid w:val="00191BF9"/>
    <w:rsid w:val="0039778A"/>
    <w:rsid w:val="00510E3E"/>
    <w:rsid w:val="005A2A0E"/>
    <w:rsid w:val="007F2900"/>
    <w:rsid w:val="008703FA"/>
    <w:rsid w:val="008D250D"/>
    <w:rsid w:val="00905BC9"/>
    <w:rsid w:val="00B947EC"/>
    <w:rsid w:val="00C86C48"/>
    <w:rsid w:val="00D33383"/>
    <w:rsid w:val="00F059F9"/>
    <w:rsid w:val="00F11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1"/>
    <w:basedOn w:val="a"/>
    <w:rsid w:val="005A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5A2A0E"/>
  </w:style>
  <w:style w:type="character" w:customStyle="1" w:styleId="grame">
    <w:name w:val="grame"/>
    <w:basedOn w:val="a0"/>
    <w:rsid w:val="005A2A0E"/>
  </w:style>
  <w:style w:type="paragraph" w:customStyle="1" w:styleId="22">
    <w:name w:val="22"/>
    <w:basedOn w:val="a"/>
    <w:rsid w:val="005A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2A0E"/>
    <w:rPr>
      <w:color w:val="0000FF"/>
      <w:u w:val="single"/>
    </w:rPr>
  </w:style>
  <w:style w:type="character" w:styleId="a4">
    <w:name w:val="FollowedHyperlink"/>
    <w:basedOn w:val="a0"/>
    <w:uiPriority w:val="99"/>
    <w:semiHidden/>
    <w:unhideWhenUsed/>
    <w:rsid w:val="005A2A0E"/>
    <w:rPr>
      <w:color w:val="800080"/>
      <w:u w:val="single"/>
    </w:rPr>
  </w:style>
  <w:style w:type="paragraph" w:styleId="2">
    <w:name w:val="Body Text 2"/>
    <w:basedOn w:val="a"/>
    <w:link w:val="20"/>
    <w:uiPriority w:val="99"/>
    <w:semiHidden/>
    <w:unhideWhenUsed/>
    <w:rsid w:val="005A2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5A2A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2027179">
      <w:bodyDiv w:val="1"/>
      <w:marLeft w:val="0"/>
      <w:marRight w:val="0"/>
      <w:marTop w:val="0"/>
      <w:marBottom w:val="0"/>
      <w:divBdr>
        <w:top w:val="none" w:sz="0" w:space="0" w:color="auto"/>
        <w:left w:val="none" w:sz="0" w:space="0" w:color="auto"/>
        <w:bottom w:val="none" w:sz="0" w:space="0" w:color="auto"/>
        <w:right w:val="none" w:sz="0" w:space="0" w:color="auto"/>
      </w:divBdr>
      <w:divsChild>
        <w:div w:id="1548683993">
          <w:marLeft w:val="0"/>
          <w:marRight w:val="0"/>
          <w:marTop w:val="0"/>
          <w:marBottom w:val="0"/>
          <w:divBdr>
            <w:top w:val="none" w:sz="0" w:space="0" w:color="auto"/>
            <w:left w:val="none" w:sz="0" w:space="0" w:color="auto"/>
            <w:bottom w:val="none" w:sz="0" w:space="0" w:color="auto"/>
            <w:right w:val="none" w:sz="0" w:space="0" w:color="auto"/>
          </w:divBdr>
        </w:div>
        <w:div w:id="711660312">
          <w:marLeft w:val="0"/>
          <w:marRight w:val="0"/>
          <w:marTop w:val="0"/>
          <w:marBottom w:val="0"/>
          <w:divBdr>
            <w:top w:val="none" w:sz="0" w:space="0" w:color="auto"/>
            <w:left w:val="none" w:sz="0" w:space="0" w:color="auto"/>
            <w:bottom w:val="none" w:sz="0" w:space="0" w:color="auto"/>
            <w:right w:val="none" w:sz="0" w:space="0" w:color="auto"/>
          </w:divBdr>
        </w:div>
        <w:div w:id="374736625">
          <w:marLeft w:val="0"/>
          <w:marRight w:val="0"/>
          <w:marTop w:val="0"/>
          <w:marBottom w:val="0"/>
          <w:divBdr>
            <w:top w:val="none" w:sz="0" w:space="0" w:color="auto"/>
            <w:left w:val="none" w:sz="0" w:space="0" w:color="auto"/>
            <w:bottom w:val="none" w:sz="0" w:space="0" w:color="auto"/>
            <w:right w:val="none" w:sz="0" w:space="0" w:color="auto"/>
          </w:divBdr>
        </w:div>
        <w:div w:id="1166937347">
          <w:marLeft w:val="0"/>
          <w:marRight w:val="0"/>
          <w:marTop w:val="0"/>
          <w:marBottom w:val="0"/>
          <w:divBdr>
            <w:top w:val="none" w:sz="0" w:space="0" w:color="auto"/>
            <w:left w:val="none" w:sz="0" w:space="0" w:color="auto"/>
            <w:bottom w:val="none" w:sz="0" w:space="0" w:color="auto"/>
            <w:right w:val="none" w:sz="0" w:space="0" w:color="auto"/>
          </w:divBdr>
        </w:div>
        <w:div w:id="641152644">
          <w:marLeft w:val="0"/>
          <w:marRight w:val="0"/>
          <w:marTop w:val="0"/>
          <w:marBottom w:val="0"/>
          <w:divBdr>
            <w:top w:val="none" w:sz="0" w:space="0" w:color="auto"/>
            <w:left w:val="none" w:sz="0" w:space="0" w:color="auto"/>
            <w:bottom w:val="none" w:sz="0" w:space="0" w:color="auto"/>
            <w:right w:val="none" w:sz="0" w:space="0" w:color="auto"/>
          </w:divBdr>
        </w:div>
        <w:div w:id="2055345592">
          <w:marLeft w:val="0"/>
          <w:marRight w:val="0"/>
          <w:marTop w:val="0"/>
          <w:marBottom w:val="0"/>
          <w:divBdr>
            <w:top w:val="none" w:sz="0" w:space="0" w:color="auto"/>
            <w:left w:val="none" w:sz="0" w:space="0" w:color="auto"/>
            <w:bottom w:val="none" w:sz="0" w:space="0" w:color="auto"/>
            <w:right w:val="none" w:sz="0" w:space="0" w:color="auto"/>
          </w:divBdr>
        </w:div>
        <w:div w:id="1419248178">
          <w:marLeft w:val="0"/>
          <w:marRight w:val="0"/>
          <w:marTop w:val="0"/>
          <w:marBottom w:val="0"/>
          <w:divBdr>
            <w:top w:val="none" w:sz="0" w:space="0" w:color="auto"/>
            <w:left w:val="none" w:sz="0" w:space="0" w:color="auto"/>
            <w:bottom w:val="none" w:sz="0" w:space="0" w:color="auto"/>
            <w:right w:val="none" w:sz="0" w:space="0" w:color="auto"/>
          </w:divBdr>
        </w:div>
        <w:div w:id="835801341">
          <w:marLeft w:val="0"/>
          <w:marRight w:val="0"/>
          <w:marTop w:val="0"/>
          <w:marBottom w:val="0"/>
          <w:divBdr>
            <w:top w:val="none" w:sz="0" w:space="0" w:color="auto"/>
            <w:left w:val="none" w:sz="0" w:space="0" w:color="auto"/>
            <w:bottom w:val="none" w:sz="0" w:space="0" w:color="auto"/>
            <w:right w:val="none" w:sz="0" w:space="0" w:color="auto"/>
          </w:divBdr>
        </w:div>
        <w:div w:id="729696982">
          <w:marLeft w:val="0"/>
          <w:marRight w:val="0"/>
          <w:marTop w:val="0"/>
          <w:marBottom w:val="0"/>
          <w:divBdr>
            <w:top w:val="none" w:sz="0" w:space="0" w:color="auto"/>
            <w:left w:val="none" w:sz="0" w:space="0" w:color="auto"/>
            <w:bottom w:val="none" w:sz="0" w:space="0" w:color="auto"/>
            <w:right w:val="none" w:sz="0" w:space="0" w:color="auto"/>
          </w:divBdr>
        </w:div>
        <w:div w:id="300810402">
          <w:marLeft w:val="0"/>
          <w:marRight w:val="0"/>
          <w:marTop w:val="0"/>
          <w:marBottom w:val="0"/>
          <w:divBdr>
            <w:top w:val="none" w:sz="0" w:space="0" w:color="auto"/>
            <w:left w:val="none" w:sz="0" w:space="0" w:color="auto"/>
            <w:bottom w:val="none" w:sz="0" w:space="0" w:color="auto"/>
            <w:right w:val="none" w:sz="0" w:space="0" w:color="auto"/>
          </w:divBdr>
        </w:div>
        <w:div w:id="1564176196">
          <w:marLeft w:val="0"/>
          <w:marRight w:val="0"/>
          <w:marTop w:val="0"/>
          <w:marBottom w:val="0"/>
          <w:divBdr>
            <w:top w:val="none" w:sz="0" w:space="0" w:color="auto"/>
            <w:left w:val="none" w:sz="0" w:space="0" w:color="auto"/>
            <w:bottom w:val="none" w:sz="0" w:space="0" w:color="auto"/>
            <w:right w:val="none" w:sz="0" w:space="0" w:color="auto"/>
          </w:divBdr>
        </w:div>
        <w:div w:id="643706870">
          <w:marLeft w:val="0"/>
          <w:marRight w:val="0"/>
          <w:marTop w:val="0"/>
          <w:marBottom w:val="0"/>
          <w:divBdr>
            <w:top w:val="none" w:sz="0" w:space="0" w:color="auto"/>
            <w:left w:val="none" w:sz="0" w:space="0" w:color="auto"/>
            <w:bottom w:val="none" w:sz="0" w:space="0" w:color="auto"/>
            <w:right w:val="none" w:sz="0" w:space="0" w:color="auto"/>
          </w:divBdr>
        </w:div>
        <w:div w:id="1395498">
          <w:marLeft w:val="0"/>
          <w:marRight w:val="0"/>
          <w:marTop w:val="0"/>
          <w:marBottom w:val="0"/>
          <w:divBdr>
            <w:top w:val="none" w:sz="0" w:space="0" w:color="auto"/>
            <w:left w:val="none" w:sz="0" w:space="0" w:color="auto"/>
            <w:bottom w:val="none" w:sz="0" w:space="0" w:color="auto"/>
            <w:right w:val="none" w:sz="0" w:space="0" w:color="auto"/>
          </w:divBdr>
        </w:div>
        <w:div w:id="657879323">
          <w:marLeft w:val="0"/>
          <w:marRight w:val="0"/>
          <w:marTop w:val="0"/>
          <w:marBottom w:val="0"/>
          <w:divBdr>
            <w:top w:val="none" w:sz="0" w:space="0" w:color="auto"/>
            <w:left w:val="none" w:sz="0" w:space="0" w:color="auto"/>
            <w:bottom w:val="none" w:sz="0" w:space="0" w:color="auto"/>
            <w:right w:val="none" w:sz="0" w:space="0" w:color="auto"/>
          </w:divBdr>
          <w:divsChild>
            <w:div w:id="854076670">
              <w:marLeft w:val="0"/>
              <w:marRight w:val="0"/>
              <w:marTop w:val="0"/>
              <w:marBottom w:val="0"/>
              <w:divBdr>
                <w:top w:val="none" w:sz="0" w:space="0" w:color="auto"/>
                <w:left w:val="none" w:sz="0" w:space="0" w:color="auto"/>
                <w:bottom w:val="none" w:sz="0" w:space="0" w:color="auto"/>
                <w:right w:val="none" w:sz="0" w:space="0" w:color="auto"/>
              </w:divBdr>
            </w:div>
          </w:divsChild>
        </w:div>
        <w:div w:id="2099060792">
          <w:marLeft w:val="0"/>
          <w:marRight w:val="0"/>
          <w:marTop w:val="0"/>
          <w:marBottom w:val="0"/>
          <w:divBdr>
            <w:top w:val="none" w:sz="0" w:space="0" w:color="auto"/>
            <w:left w:val="none" w:sz="0" w:space="0" w:color="auto"/>
            <w:bottom w:val="none" w:sz="0" w:space="0" w:color="auto"/>
            <w:right w:val="none" w:sz="0" w:space="0" w:color="auto"/>
          </w:divBdr>
          <w:divsChild>
            <w:div w:id="8167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dkrp.gov.ua" TargetMode="External"/><Relationship Id="rId4" Type="http://schemas.openxmlformats.org/officeDocument/2006/relationships/hyperlink" Target="mailto:office@guard.n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4415</Words>
  <Characters>25168</Characters>
  <Application>Microsoft Office Word</Application>
  <DocSecurity>0</DocSecurity>
  <Lines>209</Lines>
  <Paragraphs>59</Paragraphs>
  <ScaleCrop>false</ScaleCrop>
  <Company>Microsoft</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Call-centr</dc:creator>
  <cp:lastModifiedBy>Call-centr</cp:lastModifiedBy>
  <cp:revision>1</cp:revision>
  <dcterms:created xsi:type="dcterms:W3CDTF">2018-02-06T08:05:00Z</dcterms:created>
  <dcterms:modified xsi:type="dcterms:W3CDTF">2018-02-06T08:08:00Z</dcterms:modified>
</cp:coreProperties>
</file>