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ПОВІДОМЛЕННЯ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про оприлюднення проекту наказу Міністерства внутрішніх справ України «Про затвердження Вимог до об'єктів і приміщень, призначених для здійснення діяльності з обігу наркотичних   засобів, психотропних речовин, прекурсорів та зберігання вилучених з незаконного обігу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таких засобів і речовин»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        Проект наказу Міністерства внутрішніх справ України «Про затвердження Вимог до об'єктів і приміщень, призначених для здійснення діяльності з обігу наркотичних   засобів, психотропних речовин, прекурсорів та зберігання вилучених з незаконного обігу таких засобів і речовин» розроблено відповідно до Законів України «Про наркотичні засоби, психотропні речовини і прекурсори» та «Про Національну поліцію».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5"/>
        <w:gridCol w:w="4826"/>
      </w:tblGrid>
      <w:tr w:rsidR="00811FB6" w:rsidRPr="00811FB6" w:rsidTr="00811FB6">
        <w:trPr>
          <w:jc w:val="center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Назва органу виконавчої влади, який розробив регуляторний акт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Назва структурного підрозділу, який розробляв регуляторний акт, його адреса та телефони</w:t>
            </w:r>
          </w:p>
        </w:tc>
      </w:tr>
      <w:tr w:rsidR="00811FB6" w:rsidRPr="00811FB6" w:rsidTr="00811FB6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Національна поліція України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Департамент протидії наркозлочинності Національної поліції України, 01601, м. Київ, вул. А. Богомольця, 10,</w:t>
            </w:r>
          </w:p>
          <w:p w:rsidR="00811FB6" w:rsidRPr="00811FB6" w:rsidRDefault="00811FB6" w:rsidP="00811FB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(044) 254-93-26, </w:t>
            </w: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http</w:t>
            </w: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://www.npu.gov.ua/</w:t>
            </w:r>
          </w:p>
        </w:tc>
      </w:tr>
    </w:tbl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        Проект наказу та пояснювальну записку оприлюднено на we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b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-сайті </w:t>
      </w:r>
      <w:hyperlink r:id="rId4" w:history="1"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http://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val="uk-UA" w:eastAsia="ru-RU"/>
          </w:rPr>
          <w:t>www.npu.gov.ua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/</w:t>
        </w:r>
      </w:hyperlink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Зауваження та пропозиції до проекту від фізичних та юридичних осіб приймаються до 30 червня 2017 року на адресу Національної поліції України або на електронну адресу: </w:t>
      </w:r>
      <w:hyperlink r:id="rId5" w:history="1"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val="uk-UA" w:eastAsia="ru-RU"/>
          </w:rPr>
          <w:t>legal@an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val="en-US" w:eastAsia="ru-RU"/>
          </w:rPr>
          <w:t>tidrug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.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val="en-US" w:eastAsia="ru-RU"/>
          </w:rPr>
          <w:t>gov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.</w:t>
        </w:r>
        <w:r w:rsidRPr="00811FB6">
          <w:rPr>
            <w:rFonts w:ascii="Verdana" w:eastAsia="Times New Roman" w:hAnsi="Verdana" w:cs="Times New Roman"/>
            <w:color w:val="0000FF"/>
            <w:sz w:val="21"/>
            <w:u w:val="single"/>
            <w:lang w:val="en-US" w:eastAsia="ru-RU"/>
          </w:rPr>
          <w:t>ua</w:t>
        </w:r>
      </w:hyperlink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 а також на адресу Державної регуляторної служби України: 01011, м. Київ, вул. Арсенальна, 9/11,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mail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@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dkrp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gov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ua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11FB6" w:rsidRPr="00811FB6" w:rsidRDefault="00811FB6" w:rsidP="00811FB6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sz w:val="21"/>
          <w:szCs w:val="21"/>
          <w:lang w:val="uk-UA" w:eastAsia="ru-RU"/>
        </w:rPr>
        <w:t>МІНІСТЕРСТВО ВНУТРІШНІХ СПРАВ УКРАЇНИ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sz w:val="21"/>
          <w:szCs w:val="21"/>
          <w:lang w:val="uk-UA" w:eastAsia="ru-RU"/>
        </w:rPr>
        <w:t>НАКАЗ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2017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м. Киї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№________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незаконного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обігу таких засобів і речовин</w:t>
      </w:r>
    </w:p>
    <w:p w:rsidR="00811FB6" w:rsidRPr="00811FB6" w:rsidRDefault="00811FB6" w:rsidP="00811FB6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Відповідно до Законів України «Про наркотичні засоби, психотропні речовини і прекурсори», «Про Національну поліцію» та з метою вдосконалення механізму видачі Національною поліцією України дозволу на використання об'єктів і приміщень, призначених для здійснення діяльності з обігу наркотичних засобів, психотропних речовин і прекурсорів, з метою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приведення нормативно-правових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актів МВС, які регулюють діяльність Національної поліції України,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у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відповідність до законодавства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НАКАЗУЮ: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1. Затвердити Вимоги до об'єктів і приміщень, призначених для здійснення діяльності з обігу  наркотичних засобів, психотропних речовин, прекурсорів та зберігання вилучених з незаконного обігу таких засобів і речовин, що додаються.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2.  Визнати таким, що втратив чинність, наказ Міністерства внутрішніх справ України від 15 травня 2009 року № 216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речовин», зареєстрований у Міністерстві юстиції України  12 серпня 2009 року за № 759/16775 (із змінами).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3.  Департаменту формування політики щодо підконтрольних Міністрові органів влади та моніторингу МВС (Боднар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В.Є.) забезпечити подання цього наказу на державну реєстрацію до Міністерства юстиції України в установленому порядку.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4.  Цей наказ набирає чинності з дня його офіційного опублікування.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5. Контроль за виконанням цього наказу покласти на Голову Національної поліції України.</w:t>
      </w:r>
    </w:p>
    <w:p w:rsidR="00811FB6" w:rsidRPr="00811FB6" w:rsidRDefault="00811FB6" w:rsidP="00811FB6">
      <w:pPr>
        <w:shd w:val="clear" w:color="auto" w:fill="F8F8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1FB6">
        <w:rPr>
          <w:rFonts w:ascii="Verdana" w:eastAsia="Times New Roman" w:hAnsi="Verdana" w:cs="Courier New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Міністр                                                          А.Б. Аваков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ЗАТВЕРДЖЕНО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аказ М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стерства внутр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іш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х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  справ   України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від ______ 2017 року № ____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ВИМОГИ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 об'єкті</w:t>
      </w:r>
      <w:proofErr w:type="gramStart"/>
      <w:r w:rsidRPr="00811FB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і приміщень, призначених для здійснення діяльності з обігу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наркотичних засобів, психотропних речовин, прекурсорів та зберігання вилучених з </w:t>
      </w:r>
      <w:proofErr w:type="gramStart"/>
      <w:r w:rsidRPr="00811FB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незаконного</w:t>
      </w:r>
      <w:proofErr w:type="gramEnd"/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обігу таких засобів і речовин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I. Загальні положення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Ц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 Вимоги визначають заходи, що вживаються суб'єктами господарювання, Службою безпеки України, Нац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ональною пол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ією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Укра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ї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 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Державною фіскальною службою України з технічного укріплення та охорони місць концентрації наркотичних засобів, психотропних речовин і прекурсорів (далі - місця концентрації), призначених для здійснення діяльності з культивування рослин, уключених до таблиці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 Переліку наркотичних засобів, психотропних речовин і прекурсорів, затвердженого постановою Кабінету Міністрів України від 6 травня 2000 року № 770               (далі - Перелік) розроблення, виробництва, виготовлення, зберігання, використання, знищення наркотичних засобів,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психотропних речовин і прекурсорів, уключених до зазначеного Переліку (далі - діяльність, пов'язана з обігом наркотичних засобів, психотропних речовин і прекурсорів), і зберігання вилучених з незаконного обігу таких засобів і речовин.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Місця концентрації можуть бути закритого (приміщення) або відкритого (об'єкти) типу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Місця концентрації визначаються суб'єктами господарювання, Службою безпеки України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,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Нац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ональною пол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ц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ією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 Укра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ї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ни і 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Державною фіскальною службою України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самостійно відповідно до технологічних регламентів та внутрішніх процедур переміщення наркотичних засобів, психотропних речовин, прекурсорів і культивування, перевезення, зберігання та знищення рослин, уключених до Переліку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.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ісля визначення місць концентрації суб'єктом господарювання, Службою безпеки України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Нац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ональною пол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ією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Укра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ї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 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Державною фіскальною службою України</w:t>
      </w:r>
      <w:r w:rsidRPr="00811FB6">
        <w:rPr>
          <w:rFonts w:ascii="Verdana" w:eastAsia="Times New Roman" w:hAnsi="Verdana" w:cs="Times New Roman"/>
          <w:color w:val="FF0000"/>
          <w:sz w:val="21"/>
          <w:szCs w:val="21"/>
          <w:lang w:val="uk-UA" w:eastAsia="ru-RU"/>
        </w:rPr>
        <w:t>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готуються план-схема та інструкція з експлікації із зазначенням місць концентрації і шляхів руху цих речовин від одного місця концентрації до іншого.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Кожне місце концентрації має бути позначено порядковим номером. Щодо кожного місця концентрації в примітках до експлікації вказуються перелік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ідконтрольних речовин, які знаходяться в такому місці, а також ужиті заходи щодо технічного укріплення і оснащення цього місця концентрації.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II.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ічне укріплення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ічне укріплення місць концентрації закритого типу (приміщень):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для зберігання вилучених з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незаконного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обігу наркотичних засобів, психотропних речовин і прекурсорів, повинні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 мають бути еквівалентні за міцністю цегляним стінам товщиною не менше 500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ідлога і стеля мають бути еквівалентні за міцністю залізобетонній плиті товщиною не менше 180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стельове перекриття, підлога, які не відповідають указаним вимогам, з внутрішнього боку по всій площі повинні бути укріплені сталевими ґратами з діаметром прутів не менше 10 мм та розмірами вічок не більше 150x150 мм. Ґрати приварюються до випущених з кладки стіни чи плит, перекритих анкерами діаметром не менше 12 мм, кроком 500x500 мм. Якщо неможливо вмонтувати анкери, то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пристрілювати до залізобетонних поверхонь чотирма дюбелями закладні деталі із сталевої штаби розміром 100x50x6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вхідні двері сховищ повинні бути справні, добре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ідігнані під дверну коробку, металеві або дерев'яні повнотілі, товщиною не менше 40 мм, мати не менше двох врізаних несамозамикальних замків. Дерев'яні двері оббиваються з обох боків листовим залізом товщиною не менше 0,6 мм із загинанням країв листа на внутрішню поверхню дверей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чи 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торець полотна. Дверний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отв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ір з внутрішнього боку додатково захищається решітчастими металевими дверима, які виготовляються із сталевого прута діаметром не менше 16 мм, вічками не більше 150x150 мм, які зварюються в кожному перетині. Оформлення дверної коробки виконується із сталевого профілю. У діючих сховищах допускаються дерев'яні коробки, посилені сталевими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іжками розміром 30x40 мм, товщиною не менше 5 мм, закріпленими в стіну штирями з арматурної сталі діаметром 10-12 мм та довжиною 120-150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приміщень з внутрішнього боку чи між рамами повинні бути обладнані металевими ґратами, які виготовляються із сталевих прутів діаметром не менше 16 мм і відстанню між прутами по вертикалі та горизонталі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не б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ільше 150 мм. Кінці прутів ґрат замуровуються в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іну на глибину не менше 80 мм та заливаються бетоном.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використання декоративних ґрат чи жалюзі, які за міцністю не повинні поступатися зазначеним вище ґратам.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як аптечні склади, склади на фармацевтичних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ідприємствах для зберігання наркотичних засобів, психотропних речовин і прекурсорів списку 1 таблиці IV Переліку приміщення, які використовуються для розроблення, виробництва наркотичних засобів, психотропних речовин і прекурсорів списку 1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            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таблиці IV Переліку, повинні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 мають бути еквівалентні за міцністю цегляним стінам товщиною не менше 500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ідлога і стеля мають бути еквівалентні за міцністю залізобетонній плиті товщиною не менше 180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стельове перекриття, підлога, які не відповідають указаним вимогам, з внутрішнього боку по всій площі повинні бути укріплені сталевими ґратами з діаметром прутів не менше 10 мм та розмірами вічок не більше 150x150 мм. ґрати приварюються до випущених з кладки стіни чи плит, перекритих анкерами діаметром не менше 12 мм, кроком 500x500 мм. Якщо неможливо вмонтувати анкери, то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пристрілювати до залізобетонних поверхонь чотирма дюбелями закладні деталі із сталевої штаби розміром 100x50x6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вхідні двері сховищ повинні бути справні, добре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ідігнані під дверну коробку, металеві або дерев'яні повнотілі, товщиною не менше 40 мм, мати не менше двох врізаних несамозамикальних замків. Дерев'яні двері оббиваються з обох боків листовим залізом товщиною не менше 0,6 мм із загинанням країв листа на внутрішню поверхню дверей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чи 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торець полотна. Дверний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отв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ір з внутрішнього боку додатково захищається решітчастими металевими дверима, які виготовляються із сталевого прута діаметром не менше 16 мм, вічками не більше 150x150 мм, які зварюються в кожному перетині. Оформлення дверної коробки виконується із сталевого профілю. У діючих сховищах допускаються дерев'яні коробки, посилені сталевими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іжками розміром 30x40 мм, товщиною не менше 5 мм, закріпленими в стіну штирями з арматурної сталі діаметром 10-12 мм та довжиною 120-150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приміщень з внутрішнього боку чи між рамами повинні бути обладнані металевими ґратами, які виготовляються із сталевих прутів діаметром не менше 16 мм і відстанню між прутами по вертикалі і горизонталі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не б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ільше 150 мм. Кінці прутів ґрат замуровуються в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іну на глибину не менше 80 мм та заливаються бетоном.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використання декоративних ґрат чи жалюзі, які за міцністю не повинні поступатися зазначеним вище ґратам.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для зберігання наркотичних засобів, психотропних речовин і прекурсорів списку 1 таблиці IV Переліку в лікувально-профілактичних закладах (далі - ЛПЗ) та закладах ветеринарної медицини (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кр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ім зазначених у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ідпункті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пункту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 розділу ІІ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 повинні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 мають бути еквівалентні за міцністю цегляним стінам товщиною не менше 500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ідлога і стеля мають бути еквівалентні за міцністю залізобетонній плиті товщиною не менше 180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стельове перекриття, підлога, які не відповідають указаним вимогам, з внутрішнього боку по всій площі повинні бути укріплені сталевими ґратами з діаметром прутів не менше 10 мм та розмірами вічок не більше 150x150 мм. ґрати приварюються до випущених з кладки стіни чи плит, перекритих анкерами діаметром не менше 12 мм, кроком 500x500 мм. Якщо неможливо вмонтувати анкери, то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пристрілювати до залізобетонних поверхонь чотирма дюбелями закладні деталі із сталевої штаби розміром 100x50x6 мм;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вхідні двері сховищ мають бути справні, добре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ідігнані під дверну коробку, металеві або дерев'яні повнотілі, товщиною не менше 40 мм, мати не менше двох врізаних несамозамикальних замків;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приміщень з внутрішнього боку чи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між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рамами повинні    бути обладнані металевими ґратами.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використання декоративних ґрат чи жалюзі, які за міцністю не повинні поступатися зазначеним вище ґратам.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lastRenderedPageBreak/>
        <w:t>4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 Приміщення, які використовуються для зберігання наркотичних засобів,  психотропних речовин і прекурсорів списку 1 таблиці IV Переліку в аптеках, дільничних лікарнях, лікарських амбулаторіях, сільських   лікарських амбулаторіях, амбулаторіях сімейної  медицини, відділеннях  (постах) ЛПЗ; у вимірювальних, діагностичних лабораторіях;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лабораторіях ветеринарної медицини; науково-дослідних інститутах, навчальних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закладах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   у лабораторіях контролю якості; у фізичних осіб-підприємців, які мають ліцензію на провадження медичної або ветеринарної  практики, повинні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окрема кімната в капітальній буді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вл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 має бути обладнана сейфами або металевими шафами, прикріпленими до підлоги (стіни);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вхідні двері повинні бути добре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ідігнані під дверну коробку, металеві або дерев'яні повнотілі, товщиною не менше 40 мм, мати не менше двох врізаних несамозамикальних замків;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приміщень з внутрішнього боку чи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між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рамами мають бути обладнані металевими ґратами.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використання декоративних ґрат чи жалюзі, які за міцністю не повинні поступатися зазначеним вище ґратам.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для зберігання прекурсорів списку 2 таблиці IV Переліку; приміщення, які використовуються для розроблення, виробництва і використання прекурсорів списку 2 таблиці IV Переліку (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кр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ім указаних у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ідпункті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6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пункту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 розділу ІІ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зовнішні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 повинні бути капітальними;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внутрішні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 не повинні бути суміжними з безгосподарними приміщеннями або приміщеннями, що належать стороннім організаціям;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 і підлога повинні бути з негорючих матеріалів;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вхідні двері сховищ повинні бути справними, добре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ідігнаними під дверну коробку, мати не менше двох врізаних несамозамикальних замків. Двері дерев'яні оббиваються з обох боків листовим залізом;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дверні отвори повинні мати пороги з пандусами не менше 0,15 м для запобігання розливанню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ідини в разі аварії;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приміщень з внутрішнього боку чи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між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рамами повинні бути обладнані металевими ґратами.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використання декоративних ґрат чи жалюзі, які за міцністю не повинні поступатися зазначеним вище ґратам.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6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 Приміщення, які використовуються для зберігання прекурсорів списку 2 таблиці IV Переліку за умови місячного обсягу запасу цих речовин не більше ніж 15 кг (л), а також закладів ветеринарної медицини (клініки, лікарні, пункти) та приміщення фізичних осіб-підприємців, які мають ліцензію 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провадження ветеринарної практики, що використовуються для зберігання та  використання ветеринарних препаратів, які у своєму складі містять психотропні речовини списків 2 таблиць ІІ і ІІІ Переліку (за умови, що загальна кількість діючої речовини не перевищує 10 г), повинні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ідповідати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таким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окрема кімната в капітальній буді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вл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 має бути обладнана сейфами або металевими шафами;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вхідні двері повинні бути добре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ідігнані під дверну коробку, металеві або дерев'яні повнотілі, товщиною не менше 40 мм, мати не менше двох врізаних несамозамикальних замків;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приміщень з внутрішнього боку чи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між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рамами мають бути обладнані металевими ґратами.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Допускається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використання декоративних ґрат чи жалюзі, які за міцністю не повинні поступатися зазначеним вище ґратам.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для здійснення господарської діяльності,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пов'язано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ї зі зберіганням рослин, уключених до Переліку повинні відповідати  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вхідні двері мають бути виготовлені з металоконструкцій або з повнотілого дерева товщиною не менше 40 мм. У разі меншої товщини полотно дерев'яних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дверей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оббивається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зсередини цільнолистовим залізом товщиною не менше 0,6 мм із загинанням країв листа на торець полотна;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двостулкові двері обладнуються двома внутрішніми стопорними шпінгалетами або засувами, що встановлюються у верхній та нижній частинах дверного полотна.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З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метою захисту двостулкових дверей можуть використовуватись спеціальні двосторонні шпінгалетні затвори, що в разі замикання можуть фіксуватися врізаними або навісними замками;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ангар (складське приміщення), який використовується для здійснення господарської діяльності, пов’язаної зі зберіганням рослин, за винятком рослин роду коноплі для промислових цілей за умови використання насіння, зібраного із сортів рослин, у висушеній соломі яких вмі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тетрагідроканнабінолу не перевищував 0,08 відсотка повинен бути виготовлений з металоконструкцій або з інших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матер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іалів (повнотілої цегляної чи кам'яної кладки, залізобетону чи еквівалентних за міцністю матеріалів) та мати металевий дах. У разі покриття даху іншими матеріалами обов'язкова наявність дерев'яного, металевого, залізобетонного або з екві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валентного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за міцністю іншого матеріалу перекриття;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віконні отвори та віконні прорізи,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у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разі наявності, обладнуються металевими ґратами або захисними щитами і віконницями. Захисні щити та віконниці за конструкцією мають бути аналогічні вхідним дверям та мати затворні пристрої з внутрішнього боку.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ічне укріплення місць концентрації відкритого типу (об'єктів):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Місця концентрації відкритого типу, які використовуються для обігу прекурсорі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списку 2 таблиці IV Переліку повинні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розміщуватися на майданчиках, які мають нижчу позначку щодо прилеглих будівель та населених пункті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територія має бути ізольованою від загальної території суб'єкта господарювання і мати окрему огорожу.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Місця концентрації відкритого типу, які використовуються для здійснення господарської діяльності,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пов'язано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ї з культивуванням рослин, за винятком рослин роду коноплі для промислових цілей за умови використання насіння, зібраного із сортів рослин, у висушеній соломі яких вмі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тетрагідроканнабінолу не перевищував 0,08 відсотка, уключених до Переліку повинні відповідати таким вимогам: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розташовуватися на відстані не менше ніж 1 км від населених пунктів, 1 км від автомобільних доріг державного та місцевого значення, залізничних шляхів сполучення, лісових угідь та не менше ніж 3 км від мі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що мають спеціальний статус, республіканського й обласного підпорядкування, а також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державного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кордону України.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Територія місць концентрації відкритого типу, які використовуються для здійснення господарської діяльності,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пов'язано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ї зі зберіганням і знищенням рослин, уключених до Переліку має бути ізольованою від загальної території суб'єкта господарювання, очищеною від кущів і чагарників.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III. Оснащення місць концентрації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Оснащення місць концентрації закритого типу (приміщень):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Приміщення, які використовуються для зберігання вилучених з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незаконного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обігу наркотичних засобів, психотропних речовин і прекурсорів, повинні бути обладнані багаторубіжними системами охоронної сигналізації з використанням сучасних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ічних засобів.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Самостійний рубіж охоронної сигналізації - це умовний кордон у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ідохоронній зоні, що включає в себе відокремлені шлейфи (шлейф) охоронної сигналізації, інформація з яких виводиться окремо на прилади приймально-контрольні (далі -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ППК), та/або системи передавання тривожних сповіщень (далі - СПТС), та/або пульти централізованого спостереження (далі - ПЦС).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Першим рубежем охоронної сигналізації захищають периметр будівельних конструкцій (вікна, двері, люки, вентиляційні канали,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стелі, підлоги та інші елементи будівель, доступні для проникнення із зовні). Для захисту першого рубежу охоронної сигналізації рекомендується застосовувати сповіщувачі: точкові, електроконтактні і магнітоконтактні; поверхневі та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л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інійні омічні, оптико-електронні, інфрачервоні, поверхневі вібраційні та об'ємні акустичні.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Двері блокуються на відкривання і пролом. Вікна захищаються сигналізацією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відкривання і руйнування скла. Некапітальні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стелі, місця вводу комунікацій - на пролом. 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вентиляційні коробки - на руйнування та ударну дію.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Другим рубежем захищають внутрішні об'єми, площі та внутрішні двері приміщень. Для захисту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другого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рубежу охоронної сигналізації рекомендується застосовувати сповіщувачі: оптико-електронні, інфрачервоні радіохвильові, ультразвукові, точкові, електроконтактні і магнітоконтактні, лінійні та об'ємні.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Третім рубежем захищаються безпосередньо: сховища, сейфи, металеві шафи та ящики, що використовуються для зберігання наркотичних засобів, психотропних речовин і прекурсорі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При цьому застосовуються оптико-електронні, ємнісні, акустичні, удароконтактні, теплові, електроконтактні, магнітоконтактні та омічні сповіщувачі.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окремі рубежі охоронної сигналізації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ідключаються точкові електроконтактні та магнітоконтактні сповіщувачі (кнопки) тривожної сигналізації, що використовуються персоналом, який виконує операції з наркотичними засобами, для подачі сигналу "тривога" у разі нападу на об'єкт (приміщення) або при виникненні іншої загрози життю та здоров'ю людей.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як аптечні склади, склади на фармацевтичних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ідприємствах для зберігання наркотичних засобів, психотропних речовин і прекурсорів списку 1 таблиці IV Переліку приміщення, які використовуються для розроблення або виробництва наркотичних засобів, психотропних речовин і прекурсорів списку 1 таблиці IV Переліку, повинні бути обладнані багаторубіжними системами охоронної сигналізації з використанням сучасних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ічних засобів.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Самостійний рубіж охоронної сигналізації - це умовний кордон у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ідохоронній зоні, що включає в себе відокремлені шлейфи (шлейф) охоронної сигналізації, інформація з яких виводиться окремо на ППК, та/або СПТС, та/або ПЦС.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Першим рубежем охоронної сигналізації захищають периметр будівельних конструкцій (вікна, двері, люки, вентиляційні канали,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стелі, підлоги та інші елементи будівель, доступні для проникнення із зовні). Для захисту першого рубежу охоронної сигналізації рекомендується застосовувати сповіщувачі: точкові, електроконтактні і магнітоконтактні; поверхневі та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л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інійні омічні, оптико-електронні, інфрачервоні, поверхневі вібраційні й об'ємні акустичні.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Двері блокуються на відкривання і пролом. Вікна захищаються сигналізацією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відкривання і руйнування скла.  Некапітальні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стелі, місця вводу комунікацій - на пролом. 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вентиляційні коробки - на руйнування та ударну дію.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Другим рубежем захищають внутрішні об'єми, площі та внутрішні двері приміщень. Для захисту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другого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рубежу охоронної сигналізації рекомендується застосовувати сповіщувачі: оптико-електронні, інфрачервоні радіохвильові, ультразвукові, точкові, електроконтактні і магнітоконтактні, лінійні та об'ємні.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Третім рубежем захищаються безпосередньо: сховища, сейфи, металеві шафи та ящики, що використовуються для зберігання наркотичних засобів, психотропних речовин і прекурсорі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При цьому застосовуються оптико-електронні, ємнісні, акустичні, удароконтактні, теплові, електроконтактні, магнітоконтактні та омічні сповіщувачі.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На окремі рубежі охоронної сигналізації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ідключаються точкові електроконтактні та магнітоконтактні сповіщувачі (кнопки) тривожноїсигналізації, що використовуються персоналом, який виконує операції з наркотичними засобами, для подачі сигналу "тривога" у разі нападу на об'єкт (приміщення) або при виникненні іншої загрози життю та здоров'ю людей.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для зберігання наркотичних засобів, психотропних речовин і прекурсорів списку 1 таблиці IV Переліку в ЛПЗ та закладах ветеринарної медицини (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кр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ім зазначених у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ідпункті 4 пункту 1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розділу ІІ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 повинні бути обладнані сигналізацією, що захищає будівельні конструкції периметрі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прим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іщень: віконні та дверні отвори, вентиляційні канали, теплові вводи та інші елементи приміщення, які доступні для  проникнення із зовнішнього боку.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Двері блокуються на відкривання і пролом. Вікна захищаються сигналізацією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відкривання і руйнування скла.  Некапітальні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стелі, місця вводу комунікацій - на пролом. 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вентиляційні коробки - на руйнування та ударну дію з виведенням сигналу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«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тривога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 на пульти централізованого спостереження поліції охорони.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4) Приміщення, які використовуються для зберігання наркотичних засобів,  психотропних речовин і прекурсорів списку 1 таблиці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IV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Переліку в аптеках, дільничних лікарнях, лікарських амбулаторіях, сільських лікарських амбулаторіях, амбулаторіях сімейної медицини, відділеннях  (постах) ЛПЗ; у вимірювальних, діагностичних лабораторіях; лабораторіях ветеринарної медицини; науково-дослідних інститутах, навчальних закладах; у лабораторіях контролю якості; у фізичних осіб - підприємців, які мають ліцензію на провадження медичної або ветеринарної практики, повинні бути обладнані засобами автономної сигналізації, що захищають внутрішні  об'єми і площі приміщень, сейфи (металеві  шафи), що використовуються для зберігання, з виведенням сигналу «тривога» на пульти централізованого спостереження або місцеві звукові та світлові сигналізатори.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5) Приміщення, які використовуються для зберігання прекурсорів списку 2 таблиці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IV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Переліку; приміщення, які використовуються для розроблення або виробництва і використання прекурсорів  списку 2 таблиці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IV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Переліку (крім указаних у підпункті 6 пункту 1 розділу ІІ), повинні бути обладнані сигналізацією, що захищає будівельні конструкції периметрів приміщень: віконні та дверні отвори, вентиляційні канали, теплові вводи та інші елементи приміщення, які доступні для проникнення із зовнішнього боку.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Двері блокуються на відкривання і пролом. Вікна захищаються сигналізацією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на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відкривання і руйнування скла. Некапітальні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стелі, місця вводу комунікацій - на пролом. Капітальні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іни, вентиляційні коробки на руйнування і ударну дію з виведенням сигналу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«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тривога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 пульти централізованого спостереження або місцеві звукові та світлові сигналізатори.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6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 Приміщення, які використовуються для зберігання прекурсорів списку 2 таблиці IV Переліку за умови місячного обсягу запасу цих речовин не більше ніж 15 кг (л), повинні бути обладнані засобами автономної сигналізації, що захищають внутрішні об'єми і площі приміщень, сейфи (металеві шафи), що використовуються для зберігання, з виведенням сигналу </w:t>
      </w:r>
      <w:r w:rsidRPr="00811FB6">
        <w:rPr>
          <w:rFonts w:ascii="Verdana" w:eastAsia="Times New Roman" w:hAnsi="Verdana" w:cs="Times New Roman"/>
          <w:color w:val="000000"/>
          <w:sz w:val="21"/>
          <w:lang w:val="uk-UA" w:eastAsia="ru-RU"/>
        </w:rPr>
        <w:t>«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тривога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 пульти централізованого спостереження або місцеві звукові й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ітлові сигналізатори.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Приміщення, які використовуються для здійснення господарської діяльності,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пов'язано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ї зі зберіганням і знищенням нарковмісних рослин, повинні бути обладнані: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системою охоронної сигналізації, що захищає будівельні конструкції периметрів приміщень, внутрішні об'єми і площі приміщень з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ідключенням до пультів централізованого спостереження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поліції охорони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У разі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відсутності 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ічної можливості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ідключення систем охоронної сигналізації до пультів централізованого спостереження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поліції охорони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засобами автономної сигналізації з виводом тривожних оповіщень на звукові та світлові оповіщувачі (зазначена вимога не поширюється на зберігання та знищення рослин роду коноплі для промислових цілей за умови використання насіння, зібраного із сортів рослин, у висушеній соломі яких вмі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тетрагідроканнабінолу не перевищував 0,08 відсотка);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місцем для зважування готової продукції та пожнивних залишків з вагами, які пройшли щорічну перевірку в регіональних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ідрозділах Держспоживстандарту України;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стаціонарним місцем для спалювання нарковмісних рослин та їх пожнивних залишкі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Оснащення місць концентрації відкритого типу (об'єктів):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Місця концентрації відкритого типу, які використовуються для обігу прекурсорі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списку 2 таблиці IV Переліку повинні бути обладнані: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стаціонарною огорожею, що обмежує вільний доступ;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пропускними пунктами;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освітленням.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Місця концентрації відкритого типу, які використовуються для здійснення господарської діяльності, 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пов'язано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ї з культивуванням нарковмісних рослин, за винятком рослин роду коноплі для промислових цілей за умови використання насіння, зібраного із сортів рослин, у висушеній соломі яких вмі</w:t>
      </w:r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тетрагідроканнабінолу не перевищував 0,08 відсотка, охороняються і обладнуються: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спостережними вишками, які встановлюються з урахуванням рельєфу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м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ісцевості і висоти, що забезпечують всебічний візуальний контроль як між персоналом охорони, так і за територією поля, що охороняється;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контрольно-сл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ідовою смугою. Для зручності забезпечення надійної охорони, прийому-здачі поста (маршруту), контролю за проникненням на територію поля сторонніх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осіб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периметр території поля оборюється та боронується, ширина боронованої смуги повинна складати не менше 1 м;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обмежувальними пристроями для проїзду сторонніх транспортних засобів;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покажчиками з написом на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ідходах до території поля, що охороняється, установлюються добре видимі покажчики написом, наприклад: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«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Прохід (проїзд) заборонено (закрито)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«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Об'єкт охороняється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Місця концентрації відкритого типу, які використовуються для здійснення господарської діяльності, пов'язаної зі зберіганням і знищенням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арковмісних рослин, за винятком рослин роду коноплі для промислових цілей за умови використання насіння, зібраного із сортів рослин, у висушеній соломі яких вмі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тетрагідроканнабінолу не перевищував 0,08 відсотка, повинні охоронятися згідно з порядком, що встановлюється МВС, і бути обладнані: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контрольно-пропускними пунктами;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огорожею, яка по периметру території не повинна мати зовнішніх виступів, заглиблень та зайвих загинів і поворотів, що обмежують спостереження та ускладнюють застосування систем охоронної сигналізації.Висота зовнішньої огорожі території має становити не менше 2 м та не повинна мати лазів, проломів, інших пошкоджень, а також дверей, воріт, хвірток тощо, як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 не замикаються;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освітленням. При цьому стовпи ліній електропередач та освітлення не повинні межувати з огорожею, а знаходитися на відстані не менше 2 м від неї;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місцем для зважування готової продукції та пожнивних залишків з вагами, які пройшли щорічну перевірку в регіональних 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ідрозділах Держспоживстандарту України;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стаціонарним місцем для спалювання нарковмісних рослин, за винятком рослин роду коноплі для промислових цілей за умови використання насіння,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зібраного із сортів рослин, у висушеній соломі яких вмі</w:t>
      </w:r>
      <w:proofErr w:type="gramStart"/>
      <w:r w:rsidRPr="00811FB6">
        <w:rPr>
          <w:rFonts w:ascii="Verdana" w:eastAsia="Times New Roman" w:hAnsi="Verdana" w:cs="Times New Roman"/>
          <w:color w:val="000000"/>
          <w:sz w:val="21"/>
          <w:lang w:eastAsia="ru-RU"/>
        </w:rPr>
        <w:t>ст</w:t>
      </w:r>
      <w:proofErr w:type="gramEnd"/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тетрагідроканнабінолу не перевищував 0,08 відсотка та їх пожнивних залишків.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Директор 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Департаменту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формування політики щодо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підконтрольних Міністрові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органів влади та моніторингу МВС                                             В.Є. Боднар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АНАЛІЗ РЕГУЛЯТОРНОГО ВПЛИВУ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проекту наказу МВС «Про затвердження Вимог до об'єктів і приміщень, призначених для здійснення діяльності з обігу наркотичних   засобів, психотропних речовин, прекурсорів та зберігання вилучених з незаконного обігу таких засобів і речовин»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1. Визначення проблеми, яку буде розв’язано шляхом державного регулювання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 наказу МВС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речовин» розроблено Національною поліцією України відповідно до Законів України «Про наркотичні засоби, психотропні речовини і прекурсори», «Про Національну поліцію» для вдосконалення механізму видачі Національною поліцією України дозволу на використання об'єктів і приміщень, призначених для здійснення діяльності з обігу наркотичних засобів, психотропних речовин і прекурсорів, з метою приведення нормативно-правових актів МВС, які регулюють діяльність Національної поліції України, у відповідність до законодавства.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Відповідно до статті 11 Закону України «Про наркотичні засоби психотропні речовини і прекурсори» дозвіл на використання об'єктів і приміщень,  призначених для здійснення діяльності з обігу наркотичних засобів,  психотропних речовин і прекурсорів, видається на підставі перевірки відповідності цих об'єктів і приміщень установленим Міністерством внутрішніх справ України вимогам.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Таким чином, визначення типових вимог до техніки укріплення та оснащення для суб’єктів господарювання, створить умови  приймати рішення про надання відповідного дозволу Національної поліції на провадження діяльності у сфері обігу наркотичних засобів, психотропних речовин і прекурсорів, з метою подальшого оформлення ліцензії на роботу із зазначеними речовинами.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2. Визначення цілей державного регулювання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pacing w:val="-3"/>
          <w:sz w:val="21"/>
          <w:szCs w:val="21"/>
          <w:lang w:val="uk-UA" w:eastAsia="ru-RU"/>
        </w:rPr>
        <w:t>Положеннями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проекту наказу МВС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речовин»</w:t>
      </w: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визначено наступні цілі державного регулювання: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удосконалення державного контролю за діяльністю з обігу наркотичних засобів, психотропних речовин і прекурсорів;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pacing w:val="-3"/>
          <w:sz w:val="21"/>
          <w:szCs w:val="21"/>
          <w:lang w:val="uk-UA" w:eastAsia="ru-RU"/>
        </w:rPr>
        <w:t>визначення єдиних типових вимог до об’єктів і приміщень, що використовуються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суб’єктами господарювання, які мають ліцензію на провадження діяльності </w:t>
      </w:r>
      <w:r w:rsidRPr="00811FB6">
        <w:rPr>
          <w:rFonts w:ascii="Verdana" w:eastAsia="Times New Roman" w:hAnsi="Verdana" w:cs="Times New Roman"/>
          <w:color w:val="000000"/>
          <w:spacing w:val="-3"/>
          <w:sz w:val="21"/>
          <w:szCs w:val="21"/>
          <w:lang w:val="uk-UA" w:eastAsia="ru-RU"/>
        </w:rPr>
        <w:t>у сфері обігу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наркотичних засобів, психотропних речовин, прекурсорів.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pacing w:val="-3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3. Альтернативні способи досягнення зазначених цілей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 метою вирішення поставлених цілей можливі такі способи: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1-й  спосіб – залишення чинними норми наказу МВС від 15.05.2009 № 216 «Про затвердження Вимог до об’єктів і приміщень, призначених для здійснення 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діяльності з обігу наркотичних засобів, психотропних речовин, прекурсорів та зберігання вилучених з незаконного обігу таких засобів і речовин».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Зазначений спосіб є неприйнятним, оскільки не відповідає Законам України «Про Національну поліцію» та «Про наркотичні засоби, психотропні речовини і прекурсори» у зв’язку зі змінами, що запровадили механізм видачі дозволу Національною поліцією. Залишення чинних норм унеможливлюватиме в подальшому отримання суб’єктами господарювання ліцензій на здійснення діяльності, пов’язаної з обігом наркотичних засобів, психотропних речовин і прекурсорів;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2-й спосіб </w:t>
      </w:r>
      <w:r w:rsidRPr="00811FB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uk-UA" w:eastAsia="ru-RU"/>
        </w:rPr>
        <w:t>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–  запровадження ринкових (договірних) або будь-яких інших механізмів, крім державного регулювання обігу наркотичних засобів, психотропних речовин і прекурсорів.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Запровадження зазначеного варіанту не є прийнятним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оскільки суперечить нормам Єдиної Конвенції про наркотичні засоби 1961 року, ратифікованої Президією Верховної Ради СРСР 14 грудня 1963 року, Закону України від 2 листопада 2000 року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 приєднання України до Протоколу про поправки до Єдиної Конвенції про наркотичні засоби 1961 року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 Конвенції про психотропні речовини від 21 лютого 1971 року, Конвенції Організації Об’єднаних Націй про боротьбу проти  незаконного обігу наркотичних засобів і психотропних речовин від 20 грудня 1988 року, ратифікованої постановою Верховної Ради УРСР від 25 квітня  1991 року;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3-й спосіб – розроблення нового проекту наказу, який запровадить єдині вимоги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до об’єктів і приміщень, для суб’єктів господарювання з метою отримання ліцензії на провадження </w:t>
      </w:r>
      <w:r w:rsidRPr="00811FB6">
        <w:rPr>
          <w:rFonts w:ascii="Verdana" w:eastAsia="Times New Roman" w:hAnsi="Verdana" w:cs="Times New Roman"/>
          <w:color w:val="000000"/>
          <w:spacing w:val="1"/>
          <w:sz w:val="21"/>
          <w:szCs w:val="21"/>
          <w:lang w:val="uk-UA" w:eastAsia="ru-RU"/>
        </w:rPr>
        <w:t>діяльності з обігу наркотичних засобів,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психотропних речовин та прекурсорів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Зазначений проект наказу МВС передбачає запровадження чітких вимог та </w:t>
      </w:r>
      <w:r w:rsidRPr="00811FB6">
        <w:rPr>
          <w:rFonts w:ascii="Verdana" w:eastAsia="Times New Roman" w:hAnsi="Verdana" w:cs="Times New Roman"/>
          <w:color w:val="000000"/>
          <w:spacing w:val="1"/>
          <w:sz w:val="21"/>
          <w:szCs w:val="21"/>
          <w:lang w:val="uk-UA" w:eastAsia="ru-RU"/>
        </w:rPr>
        <w:t>визначає заходи, що </w:t>
      </w:r>
      <w:r w:rsidRPr="00811FB6">
        <w:rPr>
          <w:rFonts w:ascii="Verdana" w:eastAsia="Times New Roman" w:hAnsi="Verdana" w:cs="Times New Roman"/>
          <w:color w:val="000000"/>
          <w:spacing w:val="8"/>
          <w:sz w:val="21"/>
          <w:szCs w:val="21"/>
          <w:lang w:val="uk-UA" w:eastAsia="ru-RU"/>
        </w:rPr>
        <w:t>вживатимуться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суб’єктами господарської діяльності</w:t>
      </w:r>
      <w:r w:rsidRPr="00811FB6">
        <w:rPr>
          <w:rFonts w:ascii="Verdana" w:eastAsia="Times New Roman" w:hAnsi="Verdana" w:cs="Times New Roman"/>
          <w:color w:val="000000"/>
          <w:spacing w:val="8"/>
          <w:sz w:val="21"/>
          <w:szCs w:val="21"/>
          <w:lang w:val="uk-UA" w:eastAsia="ru-RU"/>
        </w:rPr>
        <w:t> з технічного укріплення та охорони </w:t>
      </w:r>
      <w:r w:rsidRPr="00811FB6">
        <w:rPr>
          <w:rFonts w:ascii="Verdana" w:eastAsia="Times New Roman" w:hAnsi="Verdana" w:cs="Times New Roman"/>
          <w:color w:val="000000"/>
          <w:spacing w:val="4"/>
          <w:sz w:val="21"/>
          <w:szCs w:val="21"/>
          <w:lang w:val="uk-UA" w:eastAsia="ru-RU"/>
        </w:rPr>
        <w:t>місць концентрації наркотичних засобів, психотропних речовин і прекурсорів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, для подальшого отримання ліцензії на провадження діяльності з обігу наркотичних засобів, психотропних речовин і прекурсорів.</w:t>
      </w:r>
      <w:r w:rsidRPr="00811FB6">
        <w:rPr>
          <w:rFonts w:ascii="Verdana" w:eastAsia="Times New Roman" w:hAnsi="Verdana" w:cs="Times New Roman"/>
          <w:color w:val="000000"/>
          <w:spacing w:val="8"/>
          <w:sz w:val="21"/>
          <w:szCs w:val="21"/>
          <w:lang w:val="uk-UA" w:eastAsia="ru-RU"/>
        </w:rPr>
        <w:t>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Забезпечує досягнення цілей державного регулювання.</w:t>
      </w:r>
    </w:p>
    <w:p w:rsidR="00811FB6" w:rsidRPr="00811FB6" w:rsidRDefault="00811FB6" w:rsidP="00811FB6">
      <w:pPr>
        <w:shd w:val="clear" w:color="auto" w:fill="F8F8F6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tbl>
      <w:tblPr>
        <w:tblW w:w="9072" w:type="dxa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2682"/>
        <w:gridCol w:w="3185"/>
        <w:gridCol w:w="3205"/>
      </w:tblGrid>
      <w:tr w:rsidR="00811FB6" w:rsidRPr="00811FB6" w:rsidTr="00811FB6">
        <w:trPr>
          <w:jc w:val="center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Можливі способи досягнення цілей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Оцінка способу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Причини відмови від альтернативних способів/ аргументи щодо переваги обраного способу</w:t>
            </w:r>
          </w:p>
        </w:tc>
      </w:tr>
      <w:tr w:rsidR="00811FB6" w:rsidRPr="00811FB6" w:rsidTr="00811FB6">
        <w:trPr>
          <w:trHeight w:val="788"/>
          <w:jc w:val="center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Збереження чинного способу регулювання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Не відповідає Законам України «Про Національну поліцію» та «Про наркотичні засоби, психотропні речовини і прекурсори»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  Подальше не вирішення зазначеного питання унеможливлює забезпечення належного рівня контролю за обігом наркотичних засобів, психотропних речовин і прекурсорів</w:t>
            </w:r>
          </w:p>
        </w:tc>
      </w:tr>
      <w:tr w:rsidR="00811FB6" w:rsidRPr="00811FB6" w:rsidTr="00811FB6">
        <w:trPr>
          <w:trHeight w:val="519"/>
          <w:jc w:val="center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Інший від запропонованого спосіб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 </w:t>
            </w:r>
          </w:p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Не забезпечує належного рівня контролю за обігом наркотичних засобів, психотропних речовин і прекурсорів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 xml:space="preserve">Спосіб оцінюється як неефективний, оскільки запровадження вказаного способу призведе до витоку підконтрольних речовин у незаконний обіг, збільшення обсягів їх тіньового обігу та зростання темпів наркотизації населення </w:t>
            </w: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lastRenderedPageBreak/>
              <w:t>України</w:t>
            </w:r>
          </w:p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 </w:t>
            </w:r>
          </w:p>
        </w:tc>
      </w:tr>
      <w:tr w:rsidR="00811FB6" w:rsidRPr="00811FB6" w:rsidTr="00811FB6">
        <w:trPr>
          <w:trHeight w:val="1418"/>
          <w:jc w:val="center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lastRenderedPageBreak/>
              <w:t>Обраний спосіб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Відповідає вимогам законодавства України. Відповідає міжнародним нормативно-правовим актам, які ратифіковані законодавчими органами України. </w:t>
            </w:r>
          </w:p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Забезпечує досягнення цілей державного регулювання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Є ефективним та дієвим засобом вирішення встановлення заходів контролю за обігом наркотичних засобів, психотропних речовин і прекурсорів</w:t>
            </w:r>
          </w:p>
        </w:tc>
      </w:tr>
    </w:tbl>
    <w:p w:rsidR="00811FB6" w:rsidRPr="00811FB6" w:rsidRDefault="00811FB6" w:rsidP="00811FB6">
      <w:pPr>
        <w:shd w:val="clear" w:color="auto" w:fill="F8F8F6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4. Опис механізму, який пропонується для розв’язання проблеми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</w:t>
      </w:r>
      <w:r w:rsidRPr="00811FB6">
        <w:rPr>
          <w:rFonts w:ascii="Verdana" w:eastAsia="Times New Roman" w:hAnsi="Verdana" w:cs="Times New Roman"/>
          <w:color w:val="000000"/>
          <w:spacing w:val="6"/>
          <w:sz w:val="21"/>
          <w:szCs w:val="21"/>
          <w:lang w:val="uk-UA" w:eastAsia="ru-RU"/>
        </w:rPr>
        <w:t>имоги </w:t>
      </w:r>
      <w:r w:rsidRPr="00811FB6">
        <w:rPr>
          <w:rFonts w:ascii="Verdana" w:eastAsia="Times New Roman" w:hAnsi="Verdana" w:cs="Times New Roman"/>
          <w:color w:val="000000"/>
          <w:spacing w:val="1"/>
          <w:sz w:val="21"/>
          <w:szCs w:val="21"/>
          <w:lang w:val="uk-UA" w:eastAsia="ru-RU"/>
        </w:rPr>
        <w:t>визначають заходи, що </w:t>
      </w:r>
      <w:r w:rsidRPr="00811FB6">
        <w:rPr>
          <w:rFonts w:ascii="Verdana" w:eastAsia="Times New Roman" w:hAnsi="Verdana" w:cs="Times New Roman"/>
          <w:color w:val="000000"/>
          <w:spacing w:val="8"/>
          <w:sz w:val="21"/>
          <w:szCs w:val="21"/>
          <w:lang w:val="uk-UA" w:eastAsia="ru-RU"/>
        </w:rPr>
        <w:t>вживаються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суб’єктами господарської діяльності, для отримання ліцензії на провадження діяльності з обігу наркотичних засобів, психотропних речовин, прекурсорів, з технічного укріплення та охорони місць концентрації наркотичних засобів, психотропних речовин і прекурсорів, призначених для здійснення </w:t>
      </w:r>
      <w:r w:rsidRPr="00811FB6">
        <w:rPr>
          <w:rFonts w:ascii="Verdana" w:eastAsia="Times New Roman" w:hAnsi="Verdana" w:cs="Times New Roman"/>
          <w:color w:val="000000"/>
          <w:spacing w:val="2"/>
          <w:sz w:val="21"/>
          <w:szCs w:val="21"/>
          <w:lang w:val="uk-UA" w:eastAsia="ru-RU"/>
        </w:rPr>
        <w:t>діяльності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зі зберігання та використання наркотичних засобів, психотропних речовин і прекурсорів Переліку наркотичних засобів психотропних речовин і прекурсорів, затвердженого постановою Кабінету Міністрів України від            06 травня 2000 року № 770 (далі- Перелік).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Місця концентрації можуть бути закритого (приміщення) або відкритого </w:t>
      </w:r>
      <w:r w:rsidRPr="00811FB6">
        <w:rPr>
          <w:rFonts w:ascii="Verdana" w:eastAsia="Times New Roman" w:hAnsi="Verdana" w:cs="Times New Roman"/>
          <w:color w:val="000000"/>
          <w:spacing w:val="2"/>
          <w:sz w:val="21"/>
          <w:szCs w:val="21"/>
          <w:lang w:val="uk-UA" w:eastAsia="ru-RU"/>
        </w:rPr>
        <w:t>(об'єкти) типу.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Ці вимоги застосовуються також до місць концентрації, що </w:t>
      </w:r>
      <w:r w:rsidRPr="00811FB6">
        <w:rPr>
          <w:rFonts w:ascii="Verdana" w:eastAsia="Times New Roman" w:hAnsi="Verdana" w:cs="Times New Roman"/>
          <w:color w:val="000000"/>
          <w:spacing w:val="1"/>
          <w:sz w:val="21"/>
          <w:szCs w:val="21"/>
          <w:lang w:val="uk-UA" w:eastAsia="ru-RU"/>
        </w:rPr>
        <w:t>проектуються.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5. Обґрунтування можливості досягнення визначених цілей у разі прийняття регуляторного акта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Серед сприятливих зовнішніх обставин, які впливають на досягнення цілей регуляторного акта, можна виділити: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удосконалення процедури видачі дозволу Національної поліції України на  використання таких об'єктів і приміщень;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забезпечення прозорості обігу в Україні наркотичних засобів, психотропних речовин та прекурсорів.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Виконання норм, які встановлюються проектом акта, не викличе додаткових ускладнень у суб’єктів господарювання та не потребуватиме витрачання додаткових коштів і часу, оскільки вказаний механізм уже запроваджено та діє на всій території України.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Виконання положень цього проекту наказу буде забезпечуватися Міністерством внутрішніх справ України.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6. Визначення очікуваних результатів прийняття регуляторного акта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Прийняття проекту наказу МВС забезпечить установлення чітких, прозорих і зрозумілих вимог суб’єктам господарювання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, для отримання ліцензії на провадження діяльності, пов’язаної з обігом наркотичних засобів, психотропних речовин та прекурсорів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3932"/>
        <w:gridCol w:w="5040"/>
      </w:tblGrid>
      <w:tr w:rsidR="00811FB6" w:rsidRPr="00811FB6" w:rsidTr="00811FB6">
        <w:trPr>
          <w:trHeight w:val="301"/>
          <w:jc w:val="center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Сфери впливу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Вид впливу</w:t>
            </w:r>
          </w:p>
        </w:tc>
      </w:tr>
      <w:tr w:rsidR="00811FB6" w:rsidRPr="00811FB6" w:rsidTr="00811FB6">
        <w:trPr>
          <w:jc w:val="center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Держава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Очікуються позитивні наслідки від удосконалення державного контролю за  діяльністю з обігу наркотичних засобів, психотропних речовин і прекурсорів</w:t>
            </w:r>
          </w:p>
        </w:tc>
      </w:tr>
      <w:tr w:rsidR="00811FB6" w:rsidRPr="00811FB6" w:rsidTr="00811FB6">
        <w:trPr>
          <w:jc w:val="center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Суб’єкти господарювання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 xml:space="preserve">Виконання норм, які встановлюються проектом акта, не викличе ускладнень у </w:t>
            </w:r>
            <w:r w:rsidRPr="00811FB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lastRenderedPageBreak/>
              <w:t>суб’єктів господарювання</w:t>
            </w:r>
          </w:p>
        </w:tc>
      </w:tr>
      <w:tr w:rsidR="00811FB6" w:rsidRPr="00811FB6" w:rsidTr="00811FB6">
        <w:trPr>
          <w:jc w:val="center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lastRenderedPageBreak/>
              <w:t>Громадяни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Негативного впливу не прогнозується</w:t>
            </w:r>
          </w:p>
        </w:tc>
      </w:tr>
    </w:tbl>
    <w:p w:rsidR="00811FB6" w:rsidRPr="00811FB6" w:rsidRDefault="00811FB6" w:rsidP="00811FB6">
      <w:pPr>
        <w:shd w:val="clear" w:color="auto" w:fill="F8F8F6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Запропоновані проектом акта норми поширюється на всіх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суб’єктів господарської діяльності, які планують отримати ліцензію на право провадження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діяльності, пов’язаної з обігом наркотичних засобів, психотропних речовин і прекурсорів.</w:t>
      </w:r>
    </w:p>
    <w:p w:rsidR="00811FB6" w:rsidRPr="00811FB6" w:rsidRDefault="00811FB6" w:rsidP="00811FB6">
      <w:pPr>
        <w:shd w:val="clear" w:color="auto" w:fill="F8F8F6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tbl>
      <w:tblPr>
        <w:tblW w:w="8925" w:type="dxa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2025"/>
        <w:gridCol w:w="2992"/>
        <w:gridCol w:w="3908"/>
      </w:tblGrid>
      <w:tr w:rsidR="00811FB6" w:rsidRPr="00811FB6" w:rsidTr="00811FB6">
        <w:trPr>
          <w:trHeight w:val="301"/>
          <w:jc w:val="center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Об’єкт впливу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Витрати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Вигоди</w:t>
            </w:r>
          </w:p>
        </w:tc>
      </w:tr>
      <w:tr w:rsidR="00811FB6" w:rsidRPr="00811FB6" w:rsidTr="00811FB6">
        <w:trPr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Держава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Додаткових витрат не потребує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У результаті вдосконалення контролю прогнозується зменшення витоку підконтрольних речовин у незаконний обіг</w:t>
            </w:r>
          </w:p>
        </w:tc>
      </w:tr>
      <w:tr w:rsidR="00811FB6" w:rsidRPr="00811FB6" w:rsidTr="00811FB6">
        <w:trPr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Громадяни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Додаткових витрат не потребує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Отримають непрямі вигоди шляхом зменшення наркотизації населення України</w:t>
            </w:r>
          </w:p>
        </w:tc>
      </w:tr>
      <w:tr w:rsidR="00811FB6" w:rsidRPr="00811FB6" w:rsidTr="00811FB6">
        <w:trPr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Суб’єкти господарювання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Додаткових витрат не потребує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B6" w:rsidRPr="00811FB6" w:rsidRDefault="00811FB6" w:rsidP="0081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B6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У результаті встановлення контролю прогнозується зменшення збитків від розкрадання підконтрольних препаратів та спірних питань між суб’єктами господарювання і контролюючими органами</w:t>
            </w:r>
          </w:p>
        </w:tc>
      </w:tr>
    </w:tbl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7. Обґрунтування строку чинності регуляторного акта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 наказу МВС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речовин» буде чинним з дня його реєстрації в Міністерстві юстиції України. Термін дії акта не обмежено.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8. Визначення показників результативності регуляторного акта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Дія проекту наказу МВС «Про затвердження Вимог до об'єктів і приміщень, призначених для здійснення діяльності з обігу наркотичних засобів, психотропних речовин, прекурсорів та зберігання вилучених з незаконного обігу таких засобів і речовин» поширюватиметься на </w:t>
      </w:r>
      <w:r w:rsidRPr="00811FB6">
        <w:rPr>
          <w:rFonts w:ascii="Verdana" w:eastAsia="Times New Roman" w:hAnsi="Verdana" w:cs="Times New Roman"/>
          <w:color w:val="000000"/>
          <w:spacing w:val="3"/>
          <w:sz w:val="21"/>
          <w:szCs w:val="21"/>
          <w:lang w:val="uk-UA" w:eastAsia="ru-RU"/>
        </w:rPr>
        <w:t>всіх суб’єктів господарської діяльності які </w:t>
      </w: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здійснюватимуть або планують здійснювати діяльність, пов’язану з обігом наркотичних засобів, психотропних речовин і прекурсорів, уключеними до Переліку.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Рівень поінформованості зацікавлених суб’єктів господарювання з основними положеннями акта високий, оскільки зазначений проект оприлюднений на офіційному веб-сайті Міністерства внутрішніх справ.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 разі затвердження вказаного проекту наказу прогнозується зменшення кількості порушень у сфері легального обігу підконтрольних речовин.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9. Визначення заходів, за допомогою яких буде здійснюватися відстеження результативності регуляторного акта в разі його прийняття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Базове відстеження результативності зазначеного регуляторного актаздійснюватиметься до дня набрання ним чинності шляхом збору пропозицій та зауважень і їх аналізу.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Повторне відстеження результативності вказаного регуляторного акта планується через рік після набрання чинності регуляторним актом, за результатами якого можна зробити порівняння показників базового та повторного відстеження.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Відстеження результативності регуляторного акта буде здійснюватися відповідно до Методики відстеження результативності регуляторного акта, затвердженої постановою Кабінету Міністрів України від 11 березня  2004 року № 308.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811FB6" w:rsidRPr="00811FB6" w:rsidRDefault="00811FB6" w:rsidP="00811FB6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1F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Голова Національної поліції України                          С.М. Князєв</w:t>
      </w:r>
    </w:p>
    <w:p w:rsidR="00811FB6" w:rsidRPr="00811FB6" w:rsidRDefault="00811FB6" w:rsidP="00811FB6">
      <w:pPr>
        <w:rPr>
          <w:lang w:val="uk-UA"/>
        </w:rPr>
      </w:pPr>
    </w:p>
    <w:sectPr w:rsidR="00811FB6" w:rsidRPr="00811FB6" w:rsidSect="0021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11FB6"/>
    <w:rsid w:val="002133B7"/>
    <w:rsid w:val="003C7B71"/>
    <w:rsid w:val="0081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7"/>
  </w:style>
  <w:style w:type="paragraph" w:styleId="7">
    <w:name w:val="heading 7"/>
    <w:basedOn w:val="a"/>
    <w:link w:val="70"/>
    <w:uiPriority w:val="9"/>
    <w:qFormat/>
    <w:rsid w:val="00811FB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FB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811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11FB6"/>
  </w:style>
  <w:style w:type="paragraph" w:styleId="a4">
    <w:name w:val="Body Text"/>
    <w:basedOn w:val="a"/>
    <w:link w:val="a5"/>
    <w:uiPriority w:val="99"/>
    <w:semiHidden/>
    <w:unhideWhenUsed/>
    <w:rsid w:val="0081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1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1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1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F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gal@antidrug.gov.ua" TargetMode="External"/><Relationship Id="rId4" Type="http://schemas.openxmlformats.org/officeDocument/2006/relationships/hyperlink" Target="http://www.npu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6117</Words>
  <Characters>34868</Characters>
  <Application>Microsoft Office Word</Application>
  <DocSecurity>0</DocSecurity>
  <Lines>290</Lines>
  <Paragraphs>81</Paragraphs>
  <ScaleCrop>false</ScaleCrop>
  <Company>Microsoft</Company>
  <LinksUpToDate>false</LinksUpToDate>
  <CharactersWithSpaces>40904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Call4</dc:creator>
  <cp:lastModifiedBy>Call4</cp:lastModifiedBy>
  <cp:revision>1</cp:revision>
  <dcterms:created xsi:type="dcterms:W3CDTF">2018-02-06T07:58:00Z</dcterms:created>
  <dcterms:modified xsi:type="dcterms:W3CDTF">2018-02-06T08:05:00Z</dcterms:modified>
</cp:coreProperties>
</file>