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15082" w:type="dxa"/>
        <w:jc w:val="center"/>
        <w:tblInd w:w="0" w:type="dxa"/>
        <w:tblBorders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000" w:firstRow="0" w:lastRow="0" w:firstColumn="0" w:lastColumn="0" w:noHBand="0" w:noVBand="0"/>
      </w:tblPr>
      <w:tblGrid>
        <w:gridCol w:w="57"/>
        <w:gridCol w:w="510"/>
        <w:gridCol w:w="57"/>
        <w:gridCol w:w="1360"/>
        <w:gridCol w:w="58"/>
        <w:gridCol w:w="4195"/>
        <w:gridCol w:w="58"/>
        <w:gridCol w:w="1077"/>
        <w:gridCol w:w="57"/>
        <w:gridCol w:w="1190"/>
        <w:gridCol w:w="57"/>
        <w:gridCol w:w="1077"/>
        <w:gridCol w:w="56"/>
        <w:gridCol w:w="1078"/>
        <w:gridCol w:w="56"/>
        <w:gridCol w:w="1077"/>
        <w:gridCol w:w="57"/>
        <w:gridCol w:w="1077"/>
        <w:gridCol w:w="57"/>
        <w:gridCol w:w="1531"/>
        <w:gridCol w:w="56"/>
        <w:gridCol w:w="57"/>
        <w:gridCol w:w="226"/>
      </w:tblGrid>
      <w:tr>
        <w:trPr/>
        <w:tc>
          <w:tcPr>
            <w:gridSpan w:val="23"/>
            <w:tcBorders/>
            <w:tcW w:w="1508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Капітальний ремонт нежитлової будівлі ГУНП в Чернігівській області по вул. Івана Мазепи, 12 у м. Чернігові з облаштуванням слабострумних систем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(телефонна мережа, локальна мережа передачі даних, мережа інтернет, система відеоспостереження, система контролю доступу, охоронна сигналізація)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gridSpan w:val="23"/>
            <w:tcBorders/>
            <w:tcW w:w="15082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/>
        <w:tc>
          <w:tcPr>
            <w:gridSpan w:val="20"/>
            <w:tcBorders/>
            <w:tcW w:w="1474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 xml:space="preserve">Пiдсумкова вiдомiсть ресурсiв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top w:val="single" w:color="000000" w:sz="12" w:space="0"/>
              <w:left w:val="single" w:color="000000" w:sz="12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№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Ч.ч.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Шифр ресурсу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4253" w:type="dxa"/>
            <w:vAlign w:val="center"/>
            <w:vMerge w:val="restart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Найменування 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4" w:space="0"/>
              <w:right w:val="single" w:color="000000" w:sz="4" w:space="0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Одиниця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виміру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4" w:space="0"/>
              <w:right w:val="single" w:color="000000" w:sz="4" w:space="0"/>
            </w:tcBorders>
            <w:tcW w:w="1247" w:type="dxa"/>
            <w:vAlign w:val="center"/>
            <w:vMerge w:val="restart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Кількість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Поточна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ціна за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одиницю,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грн.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12" w:space="0"/>
              <w:left w:val="single" w:color="000000" w:sz="4" w:space="0"/>
              <w:bottom w:val="single" w:color="000000" w:sz="4" w:space="0"/>
            </w:tcBorders>
            <w:tcW w:w="3401" w:type="dxa"/>
            <w:vAlign w:val="center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 тому числі: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1644" w:type="dxa"/>
            <w:vAlign w:val="center"/>
            <w:vMerge w:val="restart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Обґрунтування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ціни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3" w:type="dxa"/>
            <w:vAlign w:val="center"/>
            <w:vMerge w:val="continue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vAlign w:val="center"/>
            <w:vMerge w:val="continue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bottom"/>
            <w:vMerge w:val="continue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відпускна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ціна, грн.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транс-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портна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складова,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грн.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заготі-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вельно-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складські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витрати,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грн.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vAlign w:val="center"/>
            <w:vMerge w:val="continue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3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всього, грн.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всього, грн.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всього, грн.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всього, грн.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1644" w:type="dxa"/>
            <w:vAlign w:val="center"/>
            <w:vMerge w:val="continue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/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6/7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8/9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10/11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12/13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1644" w:type="dxa"/>
            <w:vAlign w:val="center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3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3" w:type="dxa"/>
            <w:vAlign w:val="center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u w:val="single"/>
              </w:rPr>
              <w:t xml:space="preserve">I. Витрати труда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Витрати труда робітників-будівельників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люд.год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Середній розряд робіт, що виконуються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робітниками-будівельниками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розряд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vAlign w:val="center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Витрати труда робітників-монтажників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люд.год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3" w:type="dxa"/>
            <w:vAlign w:val="center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Середній розряд робіт, що виконуються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робітниками-монтажниками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розряд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Витрати труда робітників, зайнятих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керуванням та обслуговуванням машин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люд.год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Середній розряд ланки робітників, зайнятих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керуванням та обслуговуванням машин 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розряд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Витрати труда робітників, зайнятих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керуванням та обслуговуванням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автотранспорту при перевезенні ґрунту і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будівельного сміття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люд.год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3" w:type="dxa"/>
            <w:vAlign w:val="center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Витрати труда пусконалагоджувального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персоналу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люд.год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Витрати труда робітників, заробітна плата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яких враховується в складі: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9.1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загальновиробничих витрат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люд.год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9.2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коштів на зведення та розбирання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тимчасових будівель і споруд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люд.год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коштів на виконання будівельних робіт: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9.3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 зимовий період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люд.год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9.4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 літній період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люд.год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  <w:bottom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4"/>
            <w:tcBorders>
              <w:lef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1644" w:type="dxa"/>
            <w:vAlign w:val="center"/>
            <w:vMerge w:val="restart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4"/>
            <w:tcBorders>
              <w:lef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Разом  кошторисна трудомісткість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люд.год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vMerge w:val="continue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  <w:bottom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4"/>
            <w:tcBorders>
              <w:left w:val="single" w:color="000000" w:sz="4" w:space="0"/>
              <w:bottom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1644" w:type="dxa"/>
            <w:vMerge w:val="continue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4"/>
            <w:tcBorders>
              <w:lef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1644" w:type="dxa"/>
            <w:vAlign w:val="center"/>
            <w:vMerge w:val="restart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4"/>
            <w:tcBorders>
              <w:lef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Середній розряд робіт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розряд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vMerge w:val="continue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  <w:bottom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4"/>
            <w:tcBorders>
              <w:left w:val="single" w:color="000000" w:sz="4" w:space="0"/>
              <w:bottom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1644" w:type="dxa"/>
            <w:vMerge w:val="continue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3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3" w:type="dxa"/>
            <w:vAlign w:val="center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u w:val="single"/>
              </w:rPr>
              <w:t xml:space="preserve">II. Будівельні машини і механізми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КБМ217-1303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Автоматичний апарат для зварювання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оптичних волокон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маш. год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25,48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3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Разом по розділу II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грн.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в тому числі енергоносії: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Електроенергія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кВт-год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1,274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3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3" w:type="dxa"/>
            <w:vAlign w:val="center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u w:val="single"/>
              </w:rPr>
              <w:t xml:space="preserve">Будiвельнi машини, врахованi в складi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u w:val="single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u w:val="single"/>
              </w:rPr>
              <w:t xml:space="preserve">загальновиробничих витрат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КБМ270-115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Дрилі електричні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маш. год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350,42156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КБМ200-64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Перфоратор електромагнітний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маш. год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36,938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КБМ270-135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Перфоратори електричні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маш. год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35,390704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КБМ200-68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Пістолет монтажний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маш. год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25,62568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КБМ270-119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Шуруповерти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маш. год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10,393056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3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3" w:type="dxa"/>
            <w:vAlign w:val="center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u w:val="single"/>
              </w:rPr>
              <w:t xml:space="preserve">III. Будівельні матеріали, вироби і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u w:val="single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u w:val="single"/>
              </w:rPr>
              <w:t xml:space="preserve">комплекти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&amp;2402-4059-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И21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Cповіщувач SWAN QUAD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+1504-1049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Автоматичний вимикач HAGER 1п, 16А, C,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6kA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+1504-1049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Автоматичний вимикач HAGER 1п, 6А, C,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6kA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+1504-1049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Автоматичний вимикач HAGER 2п, 10А, C,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6kA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+1504-1049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Автоматичний вимикач HAGER 2п, 16А, C,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6kA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+1504-1049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Автоматичний вимикач HAGER 2п, 20А, C,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6kA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+1504-1049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Автоматичний вимикач HAGER 2п, 25А, C,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6kA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+1504-1049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Автоматичний вимикач HAGER 2п, 32А, C,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6kA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+1504-1049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Автоматичний вимикач HAGER 3п, 32А, C,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6kA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&amp;С1512-1-538-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Э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Акумулятор 12В 7 Ач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+1504-3178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Акумуляторна батарея 12 В/100 А·год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+1504-3178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Акумуляторна батарея 12 В/65 А·год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&amp;С1545-1-1-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Анкер 8 М6_85 однорозпірний з гайкою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С1545-4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Бірка маркувальна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100шт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15,92377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+1504-3178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Блок 10" на 4 роз., 16А з індикатором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+1715-10066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Блок вентиляторний на 3 вентилятора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+15011-4002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Блок живлення БЖ1215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+1504-3178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Блок силовий 19" на 6 роз., 10А, з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індикатором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+1504-3178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Блок силовий 19" на 8 роз., 10А, з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індикатором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+1504-17152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22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Бокс 300х380х110 мм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+1715-10066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Вентилятор до шаф на підшипниках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(120х120х38)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&amp;2402-4059-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И21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Виносна індікаторна панель P-IND32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&amp;С1550-38-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В1-В1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Вогнестійка піна TERMOPUR FIRESTOP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&amp;С1545-440-2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Гайка зубчаста М6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128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&amp;С1545-440-2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Гвинт метрич. 6.0/16 з циліндричною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голівкою.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128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&amp;С111-13011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Гофрированная труба d20 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368,65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+С111-2014-6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Ґрунтовка глибокопроникна Ceresit CT 17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л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3,1773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&amp;С1545-287-1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ДІН- рейка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С1545-42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Дюбелі У658, У661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100шт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1,782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С1545-43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Дюбелі з розпірною гайкою ДГ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100шт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27,45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+С1545-44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Дюбель-цвях ДГПШ 4,5х50 мм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100шт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0,197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+1503-8882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Електро-розподільча панель 19" 3U під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автомати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&amp;С1545-440-2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З'єднувальний елемент сітчатого лотка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128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+С157-245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21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Кабель Cat. 5e  FTP 4x2x24 AWG LSZH 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1000м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1,7442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+С157-245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Кабель Cat. 5e  UTP 4x2x24 AWG LSZH 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1000м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9,6645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+С157-245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24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Кабель Cat. 5e  UTP 4x2x24 AWG зовнішній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1000м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0,1836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+С157-245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Кабель ВВГнгд 3х2,5 мідний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1000м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0,2907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+С157-245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Кабель ВВГнгд 5х4 мідний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1000м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0,0102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+С157-245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23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Кабель КОРкН FRHF FE 180/E30 1х2х0,8 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1000м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0,2856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+С157-245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22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Кабель КОРкНс FRHF FE 180/E30 3х1,5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1000м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0,26112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+С157-245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Кабель ТППэп 50х2х0,4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1000м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0,2652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+С157-245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Кабель вогнестійкій КОРкHс 3х1,5 (Ек 30)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FRHF FE180/E30-90 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1000м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0,0306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+С157-245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Кабель волоконно-оптичний 4 волокна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1000м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1,5912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&amp;С111-13011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Кабель канал 16х16 мм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252,5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&amp;С111-13011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Кабель канал 25х16 мм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242,4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&amp;С111-13011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Кабель канал 40х16 мм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121,2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&amp;С111-13011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Кабель канал 40х25 мм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70,7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&amp;С111-13011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Кабель канал 40х40 мм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40,4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&amp;С113-2127-5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Кабель канал 60х40 мм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8,08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+С157-245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Кабель мідний ПВ-3 нгд 10 мм2 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1000м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0,1785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+1602-11133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Кабельний організатор 10", 1U з кришкою,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чорний,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+1602-11133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Кабельний організатор 1U з кришкою,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чорний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&amp;2402-4059-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И21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Клавіатура K-PAD OLED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+1701-1051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Кнопка визову для людей з обмеженими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можливостями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70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&amp;2402-4059-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И21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Кнопка тривоги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71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+С1512-1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Комплект монтажний (клеми, роз'єми,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кріплення, маркування, тощо)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72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+1504-17152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21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Комутаційний бокс SBV-125BW алюміній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73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+С1111-8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Конектор RJ-12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100шт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74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+С1111-8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Конектор RJ-45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100шт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0,61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75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+С1512-6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Коробка розподільна КМС 2-24М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76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+1504-17152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Коробка розподільча 85х85х50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77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&amp;С1545-440-2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Кріпильна шайба 25мм, 3мм товщ.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цинкована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128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78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&amp;С1545-440-2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Кріпильна шайба 30мм, 3мм товщ.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цинкована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128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79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&amp;С111-1851-1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Кріплення для труб ПВХ (кліпса) 20 мм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730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&amp;С1545-440-2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Кронштейн стеля/стіна для сітчастого лотка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&amp;С111-13011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Лоток сітчастий 300х50, дріт 4 мм, білий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цинк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+1504-17152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Люк ревізійний 400х600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+С1513-1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Мікро-бокс оптичний FOB-AM в зборі 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+С1111-8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Модуль KeyStone RJ45 UTP, кат. 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100шт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3,36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&amp;1602-30001-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2-В2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Модуль SFP 1.25G BIDI 20KM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TX1310/RX1550 SC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&amp;1602-30001-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2-В2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Модуль SFP 1.25G BIDI 20KM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TX1550/RX1310 SC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&amp;1602-30001-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2-В2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Модуль SFP+ 10G 1270-WDM-LC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&amp;1602-30001-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2-В2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Модуль SFP+ 10G 1330-WDM-LC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+С1545-481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Монтажний комплект до відеокамери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90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+С1511-15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Набір кріплення  (гвинт, шайба, гайка)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1224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91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&amp;С113-2106-1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Настінна розетка для 2хRJ45 без модулів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120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92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&amp;2402-4059-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И21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Оповіщувач світлозвуковий "Джміль"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93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+С1513-1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Оптична патч-панель ODF 19" 1U 24 порта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SC в зборі 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94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+С1545-453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Патч-корд  оптичний LC-LC 10м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95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+С1545-453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Патч-корд  оптичний LC-LC 1м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96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+С1545-453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Патч-корд  оптичний SC-SC 1м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97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+С1545-453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Патч-корд  оптичний SC-SC 3м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98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&amp;15096-1011-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1-В2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Патч-корд мідний UTP  0.25 м, LSZH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132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99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&amp;15096-1011-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1-В2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Патч-корд мідний UTP 0.5 м, LSZH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216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&amp;15096-1011-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1-В2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Патч-корд мідний UTP 1.0 м, LSZH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277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&amp;15096-1011-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1-В2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Патч-корд мідний UTP 3.0 м, LSZH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240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+С1513-1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Патч-панель 10", 1U, на 12 модулей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+С1513-1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Патч-панель 19" 24xRJ-45 UTP, кат. 6, dual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type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+С1512-1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Перемичка з клемами d=25мм, раз'єднувач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АКБ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+С1513-1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Плінт 10-ти парний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78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&amp;210101-10-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8103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Полиця 19" 4 точки кріпл., 550 мм, перф., 1.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5мм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&amp;210101-10-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8103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Полиця 19" 4 точки кріпл., 750 мм, перф., 1.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5мм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&amp;210101-10-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8103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Полиця консольна 10", 160мм, 1U, сіра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+С157-245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Провід ПСВеВ (J-YSt)Y)  8*0,4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1000м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0,4488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110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&amp;210101-10-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8107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Провід з клемами для вентилятора (L=1м)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111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+170311-1117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Реле VRC-R6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112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+1504-17152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Розподільча коробка T-40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113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+1504-17152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24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Розподільча коробка КМ-110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114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&amp;2402-4059-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И21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Сенсорна клавіатура К-GLCD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115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С1545-241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Скобки для проводів кабелів дволапкові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К729, К730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100шт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148,1814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116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&amp;2402-4059-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И21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Сповіщувач Vibro вібраційний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117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&amp;2402-4059-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И21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Сповіщувач магніто-конаткний СОМК 1-8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118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&amp;2402-4059-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И21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Сповіщувач магніто-конаткний СОМК 1-9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119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С1545-101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Стрічка монтажна ЛМ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100м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28,01522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120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+170311-1117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Термостат 10А 230V Fandis. -10 ...80 C. під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дін рейку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121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+1602-11133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Тримач плінтів  6 плінтів 19" 1U чорний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122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+1602-11133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Тримач плінтів настінний на 50 пар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123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&amp;С1545-262-7-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Труба сталева д.18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96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124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+1602-11133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Утримувач плінтів на 10 пар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125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+С113-1878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Хомут кабельний 4х150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12800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126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&amp;С1545-287-1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Шина заземлення без ізолятора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127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&amp;С1545-287-1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Шина нульова на дин- рейку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128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+1503-1271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Шкаф 10", 6U, 320х300мм (Ш*Г)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129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&amp;210101-10-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8107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Шнур живлення (С13-СЕЕ 7/7), 1.8 м, 1.5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130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&amp;210101-10-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8107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Шнур живлення 1.8 м, 1.5 мм2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131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&amp;210101-10-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8107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Шнур живлення 5 м, 1.5 мм2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132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+С111-2015-3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Шпатлівка полімерцементна армована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Ceresit CT 29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39,6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133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+1504-17152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Щит з/у без дверцят 2 мод.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2" w:space="0"/>
            </w:tcBorders>
            <w:tcW w:w="164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  <w:tc>
          <w:tcPr>
            <w:tcBorders/>
            <w:tcW w:w="22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</w:tbl>
    <w:p>
      <w:pPr>
        <w:pStyle w:val="710"/>
        <w:pBdr/>
        <w:spacing w:after="0" w:before="0" w:line="240" w:lineRule="auto"/>
        <w:ind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h="11906" w:orient="landscape" w:w="16838"/>
          <w:pgMar w:top="766" w:right="850" w:bottom="367" w:left="1134" w:header="709" w:footer="0" w:gutter="0"/>
          <w:cols w:num="1" w:sep="0" w:space="1701" w:equalWidth="1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4859" w:type="dxa"/>
        <w:jc w:val="center"/>
        <w:tblInd w:w="0" w:type="dxa"/>
        <w:tblBorders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000" w:firstRow="0" w:lastRow="0" w:firstColumn="0" w:lastColumn="0" w:noHBand="0" w:noVBand="0"/>
      </w:tblPr>
      <w:tblGrid>
        <w:gridCol w:w="56"/>
        <w:gridCol w:w="511"/>
        <w:gridCol w:w="57"/>
        <w:gridCol w:w="1361"/>
        <w:gridCol w:w="56"/>
        <w:gridCol w:w="4196"/>
        <w:gridCol w:w="57"/>
        <w:gridCol w:w="1077"/>
        <w:gridCol w:w="58"/>
        <w:gridCol w:w="1190"/>
        <w:gridCol w:w="57"/>
        <w:gridCol w:w="1077"/>
        <w:gridCol w:w="56"/>
        <w:gridCol w:w="1078"/>
        <w:gridCol w:w="56"/>
        <w:gridCol w:w="1077"/>
        <w:gridCol w:w="57"/>
        <w:gridCol w:w="1077"/>
        <w:gridCol w:w="58"/>
        <w:gridCol w:w="1587"/>
        <w:gridCol w:w="58"/>
      </w:tblGrid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134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+1504-17152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20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Щит розподільний 8 модулів IP31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135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+1504-17152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Щит розподільний металевий ЩРв-12 IP31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2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2" w:type="dxa"/>
            <w:vAlign w:val="center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Енергоносiї машин, врахованих в складi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загальновиробничих витрат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136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С1999-9001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Електроенергія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кВт-год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171,6464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137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С1999-9005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Мастильні матеріали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0,7388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2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Разом 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грн.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2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Разом по розділу III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грн.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2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tcBorders/>
            <w:tcW w:w="5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/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12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5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u w:val="single"/>
              </w:rPr>
              <w:t xml:space="preserve">IV. Устаткування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138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+1602-10103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23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VoIP-шлюз TA400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 тому числі витрати підрядника на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устаткування, що монтується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139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+1602-10103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VoIP-шлюз TA800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 тому числі витрати підрядника на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устаткування, що монтується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140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+1604-5001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Абонентський пульт голосного зв'язку СМ-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 тому числі витрати підрядника на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устаткування, що монтується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141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+1604-5001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Аудіоінтерком i12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 тому числі витрати підрядника на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устаткування, що монтується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142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+290220-1258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Відеокамера IP ZIP-2324LT-BT-MVF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 тому числі витрати підрядника на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устаткування, що монтується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143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+290220-1258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Відеокамера IP ZIP-314SR3-DVPF28 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 тому числі витрати підрядника на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устаткування, що монтується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144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+290220-1258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Відеокамера IP ZIP-3614ER3-PF28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 тому числі витрати підрядника на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устаткування, що монтується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145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+290220-1258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Відеокамера IP ZIP-3635AI-DM-MVF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(детекція осіб)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 тому числі витрати підрядника на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устаткування, що монтується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146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+1601-2390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Відеореєстратор ZIP-NVR408-64E-PRO з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жорскими дісками 8х8Tb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комплект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 тому числі витрати підрядника на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устаткування, що монтується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комплект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147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+1702-19004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Джерело безперебійного живлення Delta R-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Series On-Line 6kVA/5kW без АКБ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 тому числі витрати підрядника на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устаткування, що монтується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148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+1702-19004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Джерело безперебійного живлення Delta R-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Series On-Line 3kVA/2,1kW (з додатковою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зарядною платою 72Vdc/4A) без АКБ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 тому числі витрати підрядника на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устаткування, що монтується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149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+1602-10103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Керований комутатор MikroTik 309-1G-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8S+IN 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 тому числі витрати підрядника на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устаткування, що монтується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150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+1602-10103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Керований комутатор MikroTik 326-24G-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2S+RM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 тому числі витрати підрядника на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устаткування, що монтується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151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+1602-10103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21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Керований комутатор MikroTik 328-4C-20S-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4S+RM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 тому числі витрати підрядника на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устаткування, що монтується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152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+1602-10103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22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Керований комутатор MikroTik 610-8G-2S+IN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 тому числі витрати підрядника на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устаткування, що монтується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153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+1503-1271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Коммутаційна шафа  19" 45U, 610х1055 мм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(Ш*Г), посилена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 тому числі витрати підрядника на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устаткування, що монтується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154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+1503-1271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Коммутаційна шафа 19" 12U 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 тому числі витрати підрядника на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устаткування, що монтується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155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+1503-1271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Коммутаційна шафа 19" 18U 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 тому числі витрати підрядника на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устаткування, що монтується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156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+1602-10103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Комутатор ONV H1064PL 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 тому числі витрати підрядника на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устаткування, що монтується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157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+1602-10103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Комутатор PoE DS-3E1326P-EI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 тому числі витрати підрядника на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устаткування, що монтується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158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+1602-10103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Комутатор PoE EW-S1912CG-AP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 тому числі витрати підрядника на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устаткування, що монтується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159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+1602-10103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Комутатор TP-Link TL-SG105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 тому числі витрати підрядника на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устаткування, що монтується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160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+1602-10103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Комутатор TP-Link TL-SG108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 тому числі витрати підрядника на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устаткування, що монтується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161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+1602-10103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15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Маршрутизатор RB2011UiAS-RM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 тому числі витрати підрядника на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устаткування, що монтується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162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&amp;2402-4059-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И20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Прибор охранной сигнализации Тірас Orion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NOVA L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 тому числі витрати підрядника на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устаткування, що монтується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163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+1602-10001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Програмно-апаратний комплекс (IP АТС на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платформі Asterisk)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 тому числі витрати підрядника на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устаткування, що монтується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164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+1604-5001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варіант 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Пульт голосного зв'язку СМ-801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 тому числі витрати підрядника на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устаткування, що монтується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2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Разом по розділу IV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грн.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у тому числі витрати підрядника на 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устаткування, що монтується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грн.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Підсумкові витрати енергоносіїв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r>
          </w:p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для усіх машин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Електроенергія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кВт-год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172,92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2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Мастильні матеріали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0,739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2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2" w:type="dxa"/>
            <w:vAlign w:val="center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u w:val="single"/>
              </w:rPr>
              <w:t xml:space="preserve">Довідкові дані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12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/>
            <w:tcW w:w="4252" w:type="dxa"/>
            <w:vAlign w:val="center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Будівельне сміття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8" w:type="dxa"/>
            <w:vAlign w:val="center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0,60358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12" w:space="0"/>
            </w:tcBorders>
            <w:tcW w:w="1645" w:type="dxa"/>
            <w:vAlign w:val="center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0"/>
            <w:tcBorders>
              <w:top w:val="single" w:color="000000" w:sz="12" w:space="0"/>
            </w:tcBorders>
            <w:tcW w:w="14799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0"/>
            <w:tcBorders/>
            <w:tcW w:w="14799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Поточні ціни матеріальних ресурсів прийняті станом на "30 травня"  2025 р.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0"/>
            <w:tcBorders/>
            <w:tcW w:w="14799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Символ '+' визначає, що параметри, які впливають на кошторисну ціну ресурсу, змінені користувачем.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0"/>
            <w:tcBorders/>
            <w:tcW w:w="14799" w:type="dxa"/>
            <w:textDirection w:val="lrTb"/>
            <w:noWrap w:val="false"/>
          </w:tcPr>
          <w:p>
            <w:pPr>
              <w:pStyle w:val="710"/>
              <w:keepLines w:val="true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Символ &amp; визначає що ресурс задан користувачем.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  <w:tr>
        <w:trPr/>
        <w:tc>
          <w:tcPr>
            <w:gridSpan w:val="20"/>
            <w:tcBorders/>
            <w:tcW w:w="14799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0" w:before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58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pacing w:after="200" w:before="0"/>
              <w:ind/>
              <w:rPr/>
            </w:pPr>
            <w:r/>
            <w:r/>
          </w:p>
        </w:tc>
      </w:tr>
    </w:tbl>
    <w:p>
      <w:pPr>
        <w:pStyle w:val="710"/>
        <w:pBdr/>
        <w:spacing w:after="0" w:before="0" w:line="240" w:lineRule="auto"/>
        <w:ind/>
        <w:rPr/>
      </w:pPr>
      <w:r>
        <w:rPr>
          <w:sz w:val="24"/>
          <w:szCs w:val="24"/>
        </w:rPr>
        <w:t xml:space="preserve"> </w:t>
      </w:r>
      <w:r/>
    </w:p>
    <w:sectPr>
      <w:headerReference w:type="default" r:id="rId9"/>
      <w:footnotePr/>
      <w:endnotePr/>
      <w:type w:val="nextPage"/>
      <w:pgSz w:h="11906" w:orient="landscape" w:w="16838"/>
      <w:pgMar w:top="766" w:right="850" w:bottom="367" w:left="1134" w:header="709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CJK SC">
    <w:panose1 w:val="02000000000000000000"/>
  </w:font>
  <w:font w:name="Noto Sans Devanagari">
    <w:panose1 w:val="02000000000000000000"/>
  </w:font>
  <w:font w:name="Carlito">
    <w:panose1 w:val="020F0502020204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0"/>
      <w:pBdr/>
      <w:tabs>
        <w:tab w:val="clear" w:leader="none" w:pos="720"/>
        <w:tab w:val="center" w:leader="none" w:pos="7155"/>
        <w:tab w:val="right" w:leader="none" w:pos="13515"/>
      </w:tabs>
      <w:spacing w:after="0" w:before="0" w:line="240" w:lineRule="auto"/>
      <w:ind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 xml:space="preserve">14</w:t>
    </w:r>
    <w:r>
      <w:rPr>
        <w:sz w:val="16"/>
        <w:szCs w:val="16"/>
      </w:rPr>
      <w:fldChar w:fldCharType="end"/>
    </w:r>
    <w:r>
      <w:rPr>
        <w:sz w:val="16"/>
        <w:szCs w:val="16"/>
        <w:lang w:val="en-US"/>
      </w:rPr>
      <w:t xml:space="preserve"> </w:t>
    </w:r>
    <w:r>
      <w:rPr>
        <w:rFonts w:ascii="Arial" w:hAnsi="Arial" w:cs="Arial"/>
        <w:sz w:val="16"/>
        <w:szCs w:val="16"/>
      </w:rPr>
      <w:t xml:space="preserve">Програмний комплекс АВК - 5 (3.10.1)                                                                                              </w:t>
    </w:r>
    <w:r>
      <w:rPr>
        <w:sz w:val="16"/>
        <w:szCs w:val="16"/>
        <w:lang w:val="en-US"/>
      </w:rPr>
      <w:t xml:space="preserve">-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 xml:space="preserve">9</w:t>
    </w:r>
    <w:r>
      <w:rPr>
        <w:sz w:val="16"/>
        <w:szCs w:val="16"/>
      </w:rPr>
      <w:fldChar w:fldCharType="end"/>
    </w:r>
    <w:r>
      <w:rPr>
        <w:sz w:val="16"/>
        <w:szCs w:val="16"/>
        <w:lang w:val="en-US"/>
      </w:rPr>
      <w:t xml:space="preserve"> -</w:t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41_ДЦ_ПВР</w:t>
    </w:r>
    <w:r>
      <w:rPr>
        <w:sz w:val="16"/>
        <w:szCs w:val="16"/>
        <w:lang w:val="en-US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0"/>
      <w:pBdr/>
      <w:tabs>
        <w:tab w:val="clear" w:leader="none" w:pos="720"/>
        <w:tab w:val="center" w:leader="none" w:pos="7155"/>
        <w:tab w:val="right" w:leader="none" w:pos="13515"/>
      </w:tabs>
      <w:spacing w:after="0" w:before="0" w:line="240" w:lineRule="auto"/>
      <w:ind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 xml:space="preserve">14</w:t>
    </w:r>
    <w:r>
      <w:rPr>
        <w:sz w:val="16"/>
        <w:szCs w:val="16"/>
      </w:rPr>
      <w:fldChar w:fldCharType="end"/>
    </w:r>
    <w:r>
      <w:rPr>
        <w:sz w:val="16"/>
        <w:szCs w:val="16"/>
        <w:lang w:val="en-US"/>
      </w:rPr>
      <w:t xml:space="preserve"> </w:t>
    </w:r>
    <w:r>
      <w:rPr>
        <w:rFonts w:ascii="Arial" w:hAnsi="Arial" w:cs="Arial"/>
        <w:sz w:val="16"/>
        <w:szCs w:val="16"/>
      </w:rPr>
      <w:t xml:space="preserve">Програмний комплекс АВК - 5 (3.10.1)                                                                                              </w:t>
    </w:r>
    <w:r>
      <w:rPr>
        <w:sz w:val="16"/>
        <w:szCs w:val="16"/>
        <w:lang w:val="en-US"/>
      </w:rPr>
      <w:t xml:space="preserve">-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 xml:space="preserve">14</w:t>
    </w:r>
    <w:r>
      <w:rPr>
        <w:sz w:val="16"/>
        <w:szCs w:val="16"/>
      </w:rPr>
      <w:fldChar w:fldCharType="end"/>
    </w:r>
    <w:r>
      <w:rPr>
        <w:sz w:val="16"/>
        <w:szCs w:val="16"/>
        <w:lang w:val="en-US"/>
      </w:rPr>
      <w:t xml:space="preserve"> -</w:t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41_ДЦ_ПВР</w:t>
    </w:r>
    <w:r>
      <w:rPr>
        <w:sz w:val="16"/>
        <w:szCs w:val="16"/>
        <w:lang w:val="en-US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72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7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10"/>
    <w:next w:val="71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10"/>
    <w:next w:val="71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10"/>
    <w:next w:val="71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10"/>
    <w:next w:val="71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10"/>
    <w:next w:val="71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10"/>
    <w:next w:val="71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10"/>
    <w:next w:val="71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10"/>
    <w:next w:val="71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10"/>
    <w:next w:val="71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11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1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1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11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11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11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11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11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1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10"/>
    <w:next w:val="71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11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10"/>
    <w:next w:val="71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11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10"/>
    <w:next w:val="71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11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710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71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10"/>
    <w:next w:val="71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11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1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10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1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11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11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1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1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11"/>
    <w:link w:val="718"/>
    <w:uiPriority w:val="99"/>
    <w:pPr>
      <w:pBdr/>
      <w:spacing/>
      <w:ind/>
    </w:pPr>
  </w:style>
  <w:style w:type="paragraph" w:styleId="177">
    <w:name w:val="Footer"/>
    <w:basedOn w:val="71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711"/>
    <w:link w:val="177"/>
    <w:uiPriority w:val="99"/>
    <w:pPr>
      <w:pBdr/>
      <w:spacing/>
      <w:ind/>
    </w:pPr>
  </w:style>
  <w:style w:type="paragraph" w:styleId="180">
    <w:name w:val="footnote text"/>
    <w:basedOn w:val="71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11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11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1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11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11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71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71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10"/>
    <w:next w:val="710"/>
    <w:uiPriority w:val="39"/>
    <w:unhideWhenUsed/>
    <w:pPr>
      <w:pBdr/>
      <w:spacing w:after="100"/>
      <w:ind/>
    </w:pPr>
  </w:style>
  <w:style w:type="paragraph" w:styleId="189">
    <w:name w:val="toc 2"/>
    <w:basedOn w:val="710"/>
    <w:next w:val="710"/>
    <w:uiPriority w:val="39"/>
    <w:unhideWhenUsed/>
    <w:pPr>
      <w:pBdr/>
      <w:spacing w:after="100"/>
      <w:ind w:left="220"/>
    </w:pPr>
  </w:style>
  <w:style w:type="paragraph" w:styleId="190">
    <w:name w:val="toc 3"/>
    <w:basedOn w:val="710"/>
    <w:next w:val="710"/>
    <w:uiPriority w:val="39"/>
    <w:unhideWhenUsed/>
    <w:pPr>
      <w:pBdr/>
      <w:spacing w:after="100"/>
      <w:ind w:left="440"/>
    </w:pPr>
  </w:style>
  <w:style w:type="paragraph" w:styleId="191">
    <w:name w:val="toc 4"/>
    <w:basedOn w:val="710"/>
    <w:next w:val="710"/>
    <w:uiPriority w:val="39"/>
    <w:unhideWhenUsed/>
    <w:pPr>
      <w:pBdr/>
      <w:spacing w:after="100"/>
      <w:ind w:left="660"/>
    </w:pPr>
  </w:style>
  <w:style w:type="paragraph" w:styleId="192">
    <w:name w:val="toc 5"/>
    <w:basedOn w:val="710"/>
    <w:next w:val="710"/>
    <w:uiPriority w:val="39"/>
    <w:unhideWhenUsed/>
    <w:pPr>
      <w:pBdr/>
      <w:spacing w:after="100"/>
      <w:ind w:left="880"/>
    </w:pPr>
  </w:style>
  <w:style w:type="paragraph" w:styleId="193">
    <w:name w:val="toc 6"/>
    <w:basedOn w:val="710"/>
    <w:next w:val="710"/>
    <w:uiPriority w:val="39"/>
    <w:unhideWhenUsed/>
    <w:pPr>
      <w:pBdr/>
      <w:spacing w:after="100"/>
      <w:ind w:left="1100"/>
    </w:pPr>
  </w:style>
  <w:style w:type="paragraph" w:styleId="194">
    <w:name w:val="toc 7"/>
    <w:basedOn w:val="710"/>
    <w:next w:val="710"/>
    <w:uiPriority w:val="39"/>
    <w:unhideWhenUsed/>
    <w:pPr>
      <w:pBdr/>
      <w:spacing w:after="100"/>
      <w:ind w:left="1320"/>
    </w:pPr>
  </w:style>
  <w:style w:type="paragraph" w:styleId="195">
    <w:name w:val="toc 8"/>
    <w:basedOn w:val="710"/>
    <w:next w:val="710"/>
    <w:uiPriority w:val="39"/>
    <w:unhideWhenUsed/>
    <w:pPr>
      <w:pBdr/>
      <w:spacing w:after="100"/>
      <w:ind w:left="1540"/>
    </w:pPr>
  </w:style>
  <w:style w:type="paragraph" w:styleId="196">
    <w:name w:val="toc 9"/>
    <w:basedOn w:val="710"/>
    <w:next w:val="71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710"/>
    <w:next w:val="710"/>
    <w:uiPriority w:val="99"/>
    <w:unhideWhenUsed/>
    <w:pPr>
      <w:pBdr/>
      <w:spacing w:after="0" w:afterAutospacing="0"/>
      <w:ind/>
    </w:pPr>
  </w:style>
  <w:style w:type="paragraph" w:styleId="710" w:default="1">
    <w:name w:val="Normal"/>
    <w:qFormat/>
    <w:pPr>
      <w:widowControl w:val="true"/>
      <w:pBdr/>
      <w:bidi w:val="false"/>
      <w:spacing w:after="200" w:before="0" w:line="276" w:lineRule="auto"/>
      <w:ind/>
      <w:jc w:val="left"/>
    </w:pPr>
    <w:rPr>
      <w:rFonts w:ascii="Times New Roman" w:hAnsi="Times New Roman" w:eastAsia="Times New Roman" w:cs="Times New Roman"/>
      <w:color w:val="auto"/>
      <w:sz w:val="22"/>
      <w:szCs w:val="22"/>
      <w:lang w:val="ru-RU" w:eastAsia="en-US" w:bidi="ar-SA"/>
    </w:rPr>
  </w:style>
  <w:style w:type="character" w:styleId="711" w:default="1">
    <w:name w:val="Default Paragraph Font"/>
    <w:uiPriority w:val="1"/>
    <w:semiHidden/>
    <w:unhideWhenUsed/>
    <w:qFormat/>
    <w:pPr>
      <w:pBdr/>
      <w:spacing/>
      <w:ind/>
    </w:pPr>
  </w:style>
  <w:style w:type="paragraph" w:styleId="712">
    <w:name w:val="Заголовок"/>
    <w:basedOn w:val="710"/>
    <w:next w:val="713"/>
    <w:qFormat/>
    <w:pPr>
      <w:keepNext w:val="true"/>
      <w:pBdr/>
      <w:spacing w:after="120" w:before="240"/>
      <w:ind/>
    </w:pPr>
    <w:rPr>
      <w:rFonts w:ascii="Carlito" w:hAnsi="Carlito" w:eastAsia="Noto Sans CJK SC" w:cs="Noto Sans Devanagari"/>
      <w:sz w:val="28"/>
      <w:szCs w:val="28"/>
    </w:rPr>
  </w:style>
  <w:style w:type="paragraph" w:styleId="713">
    <w:name w:val="Body Text"/>
    <w:basedOn w:val="710"/>
    <w:pPr>
      <w:pBdr/>
      <w:spacing w:after="140" w:before="0" w:line="276" w:lineRule="auto"/>
      <w:ind/>
    </w:pPr>
  </w:style>
  <w:style w:type="paragraph" w:styleId="714">
    <w:name w:val="List"/>
    <w:basedOn w:val="713"/>
    <w:pPr>
      <w:pBdr/>
      <w:spacing/>
      <w:ind/>
    </w:pPr>
    <w:rPr>
      <w:rFonts w:cs="Noto Sans Devanagari"/>
    </w:rPr>
  </w:style>
  <w:style w:type="paragraph" w:styleId="715">
    <w:name w:val="Caption"/>
    <w:basedOn w:val="710"/>
    <w:qFormat/>
    <w:pPr>
      <w:suppressLineNumbers w:val="true"/>
      <w:pBdr/>
      <w:spacing w:after="120" w:before="120"/>
      <w:ind/>
    </w:pPr>
    <w:rPr>
      <w:rFonts w:cs="Noto Sans Devanagari"/>
      <w:i/>
      <w:iCs/>
      <w:sz w:val="24"/>
      <w:szCs w:val="24"/>
    </w:rPr>
  </w:style>
  <w:style w:type="paragraph" w:styleId="716">
    <w:name w:val="Покажчик"/>
    <w:basedOn w:val="710"/>
    <w:qFormat/>
    <w:pPr>
      <w:suppressLineNumbers w:val="true"/>
      <w:pBdr/>
      <w:spacing/>
      <w:ind/>
    </w:pPr>
    <w:rPr>
      <w:rFonts w:cs="Noto Sans Devanagari"/>
    </w:rPr>
  </w:style>
  <w:style w:type="paragraph" w:styleId="717">
    <w:name w:val="Верхній і нижній колонтитули"/>
    <w:basedOn w:val="710"/>
    <w:qFormat/>
    <w:pPr>
      <w:pBdr/>
      <w:spacing/>
      <w:ind/>
    </w:pPr>
  </w:style>
  <w:style w:type="paragraph" w:styleId="718">
    <w:name w:val="Header"/>
    <w:basedOn w:val="717"/>
    <w:pPr>
      <w:pBdr/>
      <w:spacing/>
      <w:ind/>
    </w:pPr>
  </w:style>
  <w:style w:type="numbering" w:styleId="719" w:default="1">
    <w:name w:val="No List"/>
    <w:uiPriority w:val="99"/>
    <w:semiHidden/>
    <w:unhideWhenUsed/>
    <w:qFormat/>
    <w:pPr>
      <w:pBdr/>
      <w:spacing/>
      <w:ind/>
    </w:pPr>
  </w:style>
  <w:style w:type="table" w:styleId="720" w:default="1">
    <w:name w:val="Normal Table"/>
    <w:uiPriority w:val="99"/>
    <w:semiHidden/>
    <w:unhideWhenUsed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HeadingPairs>
    <vt:vector size="0" baseType="variant"/>
  </HeadingPairs>
  <TitlesOfParts>
    <vt:vector size="0" baseType="lpstr"/>
  </TitlesOfPart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dc:description/>
  <dc:language>uk-UA</dc:language>
  <cp:revision>3</cp:revision>
  <dcterms:created xsi:type="dcterms:W3CDTF">2025-06-06T08:50:00Z</dcterms:created>
  <dcterms:modified xsi:type="dcterms:W3CDTF">2025-06-09T07:56:03Z</dcterms:modified>
</cp:coreProperties>
</file>