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AE3" w:rsidRPr="00575640" w:rsidRDefault="00804AE3" w:rsidP="00F11B88">
      <w:pPr>
        <w:spacing w:after="0" w:line="240" w:lineRule="auto"/>
        <w:ind w:firstLine="8505"/>
        <w:jc w:val="center"/>
        <w:rPr>
          <w:rFonts w:ascii="Times New Roman" w:hAnsi="Times New Roman"/>
          <w:b/>
          <w:sz w:val="24"/>
          <w:szCs w:val="24"/>
        </w:rPr>
      </w:pPr>
      <w:bookmarkStart w:id="0" w:name="_GoBack"/>
      <w:bookmarkEnd w:id="0"/>
    </w:p>
    <w:p w:rsidR="00804AE3" w:rsidRPr="00575640" w:rsidRDefault="00804AE3" w:rsidP="00A3247A">
      <w:pPr>
        <w:spacing w:after="0" w:line="240" w:lineRule="auto"/>
        <w:jc w:val="center"/>
        <w:rPr>
          <w:rFonts w:ascii="Times New Roman" w:hAnsi="Times New Roman"/>
          <w:b/>
          <w:smallCaps/>
          <w:color w:val="000000"/>
          <w:sz w:val="24"/>
          <w:szCs w:val="24"/>
        </w:rPr>
      </w:pPr>
      <w:r w:rsidRPr="00575640">
        <w:rPr>
          <w:rFonts w:ascii="Times New Roman" w:hAnsi="Times New Roman"/>
          <w:b/>
          <w:smallCaps/>
          <w:color w:val="000000"/>
          <w:sz w:val="24"/>
          <w:szCs w:val="24"/>
        </w:rPr>
        <w:t>ТЕХНІЧНА СПЕЦИФІКАЦІЯ</w:t>
      </w:r>
    </w:p>
    <w:p w:rsidR="00804AE3" w:rsidRPr="00575640" w:rsidRDefault="00804AE3" w:rsidP="00A3247A">
      <w:pPr>
        <w:pStyle w:val="a3"/>
        <w:jc w:val="center"/>
        <w:rPr>
          <w:rFonts w:ascii="Times New Roman" w:hAnsi="Times New Roman"/>
          <w:b/>
          <w:color w:val="2C3E50"/>
          <w:sz w:val="24"/>
          <w:szCs w:val="24"/>
          <w:u w:val="single"/>
          <w:lang w:val="uk-UA"/>
        </w:rPr>
      </w:pPr>
      <w:r w:rsidRPr="00575640">
        <w:rPr>
          <w:rFonts w:ascii="Times New Roman" w:hAnsi="Times New Roman"/>
          <w:b/>
          <w:sz w:val="24"/>
          <w:szCs w:val="24"/>
          <w:u w:val="single"/>
          <w:lang w:val="uk-UA"/>
        </w:rPr>
        <w:t>Послуги передачі даних на основі стільникового мобільного зв’язку код за ДК 021:2015:64210000-1-Послуги телефонного зв’язку та передачі даних (код за ДК 021:2015:64212000-5- Послуги мобільного телефонного зв’язку</w:t>
      </w:r>
      <w:r w:rsidRPr="00575640">
        <w:rPr>
          <w:rFonts w:ascii="Times New Roman" w:hAnsi="Times New Roman"/>
          <w:b/>
          <w:color w:val="2C3E50"/>
          <w:sz w:val="24"/>
          <w:szCs w:val="24"/>
          <w:u w:val="single"/>
          <w:lang w:val="uk-UA"/>
        </w:rPr>
        <w:t>)</w:t>
      </w:r>
    </w:p>
    <w:p w:rsidR="00804AE3" w:rsidRDefault="00804AE3" w:rsidP="00F11B88">
      <w:pPr>
        <w:spacing w:after="0" w:line="240" w:lineRule="auto"/>
        <w:ind w:firstLine="567"/>
        <w:jc w:val="both"/>
        <w:rPr>
          <w:rFonts w:ascii="Times New Roman" w:hAnsi="Times New Roman"/>
          <w:sz w:val="24"/>
          <w:szCs w:val="24"/>
        </w:rPr>
      </w:pP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455018">
        <w:rPr>
          <w:rFonts w:ascii="Times New Roman" w:eastAsia="Times New Roman" w:hAnsi="Times New Roman"/>
          <w:sz w:val="24"/>
          <w:szCs w:val="24"/>
        </w:rPr>
        <w:t>Оператор зобов’язується у 202</w:t>
      </w:r>
      <w:r>
        <w:rPr>
          <w:rFonts w:ascii="Times New Roman" w:eastAsia="Times New Roman" w:hAnsi="Times New Roman"/>
          <w:sz w:val="24"/>
          <w:szCs w:val="24"/>
        </w:rPr>
        <w:t>6</w:t>
      </w:r>
      <w:r w:rsidRPr="00455018">
        <w:rPr>
          <w:rFonts w:ascii="Times New Roman" w:eastAsia="Times New Roman" w:hAnsi="Times New Roman"/>
          <w:sz w:val="24"/>
          <w:szCs w:val="24"/>
        </w:rPr>
        <w:t xml:space="preserve"> році надати Замовникові послуги рухомого (мобільного) зв’язку у мережі Учасника.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2. Послуги включають в себе: надання послуг рухомого (мобільного) зв’язку.</w:t>
      </w:r>
    </w:p>
    <w:p w:rsidR="00804AE3" w:rsidRPr="00455018" w:rsidRDefault="00804AE3" w:rsidP="00804AE3">
      <w:pPr>
        <w:suppressAutoHyphens w:val="0"/>
        <w:autoSpaceDE w:val="0"/>
        <w:autoSpaceDN w:val="0"/>
        <w:spacing w:after="0" w:line="240" w:lineRule="auto"/>
        <w:ind w:firstLine="567"/>
        <w:jc w:val="both"/>
        <w:rPr>
          <w:rFonts w:ascii="Times New Roman" w:eastAsia="Times New Roman" w:hAnsi="Times New Roman"/>
          <w:sz w:val="24"/>
          <w:szCs w:val="24"/>
          <w:lang w:eastAsia="ru-RU"/>
        </w:rPr>
      </w:pPr>
      <w:r w:rsidRPr="00455018">
        <w:rPr>
          <w:rFonts w:ascii="Times New Roman" w:eastAsia="Times New Roman" w:hAnsi="Times New Roman"/>
          <w:sz w:val="24"/>
          <w:szCs w:val="24"/>
        </w:rPr>
        <w:t xml:space="preserve">3. </w:t>
      </w:r>
      <w:r w:rsidRPr="00455018">
        <w:rPr>
          <w:rFonts w:ascii="Times New Roman" w:eastAsia="Times New Roman" w:hAnsi="Times New Roman"/>
          <w:sz w:val="24"/>
          <w:szCs w:val="24"/>
          <w:lang w:eastAsia="ru-RU"/>
        </w:rPr>
        <w:t>Замовник стає корпоративним клієнтом мережі Оператора з визначеною початковою кількістю абонентів, які є активними на момент укладання угоди. Кількість абонентів Замовника може бути зменшено або збільшено на підставі належним чином оформленої заявки в межах бюджетного призначення.</w:t>
      </w:r>
    </w:p>
    <w:p w:rsidR="00804AE3" w:rsidRPr="00455018" w:rsidRDefault="00804AE3" w:rsidP="00804AE3">
      <w:pPr>
        <w:suppressAutoHyphens w:val="0"/>
        <w:autoSpaceDE w:val="0"/>
        <w:autoSpaceDN w:val="0"/>
        <w:spacing w:after="0" w:line="240" w:lineRule="auto"/>
        <w:ind w:firstLine="567"/>
        <w:jc w:val="both"/>
        <w:rPr>
          <w:rFonts w:ascii="Times New Roman" w:eastAsia="Times New Roman" w:hAnsi="Times New Roman"/>
          <w:sz w:val="24"/>
          <w:szCs w:val="24"/>
          <w:lang w:eastAsia="ru-RU"/>
        </w:rPr>
      </w:pPr>
      <w:r w:rsidRPr="00455018">
        <w:rPr>
          <w:rFonts w:ascii="Times New Roman" w:eastAsia="Times New Roman" w:hAnsi="Times New Roman"/>
          <w:sz w:val="24"/>
          <w:szCs w:val="24"/>
          <w:lang w:eastAsia="ru-RU"/>
        </w:rPr>
        <w:t>4. Оператор надає абонентам Замовника послуги зв`язку у відповідності з корпоративними тарифними планами.</w:t>
      </w:r>
    </w:p>
    <w:p w:rsidR="00804AE3" w:rsidRPr="00455018" w:rsidRDefault="00804AE3" w:rsidP="00804AE3">
      <w:pPr>
        <w:suppressAutoHyphens w:val="0"/>
        <w:spacing w:after="0" w:line="240" w:lineRule="auto"/>
        <w:ind w:firstLine="567"/>
        <w:contextualSpacing/>
        <w:jc w:val="both"/>
        <w:rPr>
          <w:rFonts w:ascii="Times New Roman" w:hAnsi="Times New Roman"/>
          <w:sz w:val="24"/>
          <w:szCs w:val="24"/>
          <w:lang w:eastAsia="en-US"/>
        </w:rPr>
      </w:pPr>
      <w:r w:rsidRPr="00455018">
        <w:rPr>
          <w:rFonts w:ascii="Times New Roman" w:hAnsi="Times New Roman"/>
          <w:sz w:val="24"/>
          <w:szCs w:val="24"/>
          <w:lang w:eastAsia="en-US"/>
        </w:rPr>
        <w:t>5. Обсяги закупівлі послуг зв’язку можуть бути зменшені залежно від реального фінансування видатків.</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6. Покриття - не менше 97% території області. </w:t>
      </w:r>
    </w:p>
    <w:p w:rsidR="00804AE3" w:rsidRPr="00455018" w:rsidRDefault="00804AE3" w:rsidP="00804AE3">
      <w:pPr>
        <w:suppressAutoHyphens w:val="0"/>
        <w:autoSpaceDE w:val="0"/>
        <w:autoSpaceDN w:val="0"/>
        <w:spacing w:after="0" w:line="240" w:lineRule="auto"/>
        <w:ind w:firstLine="567"/>
        <w:jc w:val="both"/>
        <w:rPr>
          <w:rFonts w:ascii="Times New Roman" w:eastAsia="Times New Roman" w:hAnsi="Times New Roman"/>
          <w:sz w:val="24"/>
          <w:szCs w:val="24"/>
          <w:lang w:eastAsia="ru-RU"/>
        </w:rPr>
      </w:pPr>
      <w:r w:rsidRPr="00455018">
        <w:rPr>
          <w:rFonts w:ascii="Times New Roman" w:eastAsia="Times New Roman" w:hAnsi="Times New Roman"/>
          <w:sz w:val="24"/>
          <w:szCs w:val="24"/>
        </w:rPr>
        <w:t xml:space="preserve">7. </w:t>
      </w:r>
      <w:r w:rsidRPr="00455018">
        <w:rPr>
          <w:rFonts w:ascii="Times New Roman" w:eastAsia="Times New Roman" w:hAnsi="Times New Roman"/>
          <w:sz w:val="24"/>
          <w:szCs w:val="24"/>
          <w:lang w:eastAsia="ru-RU"/>
        </w:rPr>
        <w:t>Оператор повинен забезпечити підтримку робочого стану телекомунікаційної мережі, організувати її технічне обслуговування.</w:t>
      </w:r>
    </w:p>
    <w:p w:rsidR="00804AE3" w:rsidRPr="00455018" w:rsidRDefault="00804AE3" w:rsidP="00804AE3">
      <w:pPr>
        <w:suppressAutoHyphens w:val="0"/>
        <w:autoSpaceDE w:val="0"/>
        <w:autoSpaceDN w:val="0"/>
        <w:spacing w:after="0" w:line="240" w:lineRule="auto"/>
        <w:ind w:firstLine="567"/>
        <w:jc w:val="both"/>
        <w:rPr>
          <w:rFonts w:ascii="Times New Roman" w:eastAsia="Times New Roman" w:hAnsi="Times New Roman"/>
          <w:sz w:val="24"/>
          <w:szCs w:val="24"/>
          <w:lang w:eastAsia="ru-RU"/>
        </w:rPr>
      </w:pPr>
      <w:r w:rsidRPr="00455018">
        <w:rPr>
          <w:rFonts w:ascii="Times New Roman" w:eastAsia="Times New Roman" w:hAnsi="Times New Roman"/>
          <w:sz w:val="24"/>
          <w:szCs w:val="24"/>
          <w:lang w:eastAsia="ru-RU"/>
        </w:rPr>
        <w:t>8. Надавати безоплатний доступ до телекомунікаційних мереж для виклику номерами спецслужб: 101, 102, 103, 104, 112.</w:t>
      </w:r>
    </w:p>
    <w:p w:rsidR="00804AE3" w:rsidRPr="00455018" w:rsidRDefault="00804AE3" w:rsidP="00804AE3">
      <w:pPr>
        <w:suppressAutoHyphens w:val="0"/>
        <w:autoSpaceDE w:val="0"/>
        <w:autoSpaceDN w:val="0"/>
        <w:spacing w:after="0" w:line="240" w:lineRule="auto"/>
        <w:ind w:firstLine="567"/>
        <w:jc w:val="both"/>
        <w:rPr>
          <w:rFonts w:ascii="Times New Roman" w:eastAsia="Times New Roman" w:hAnsi="Times New Roman"/>
          <w:sz w:val="24"/>
          <w:szCs w:val="24"/>
          <w:lang w:eastAsia="ru-RU"/>
        </w:rPr>
      </w:pPr>
      <w:r w:rsidRPr="00455018">
        <w:rPr>
          <w:rFonts w:ascii="Times New Roman" w:eastAsia="Times New Roman" w:hAnsi="Times New Roman"/>
          <w:sz w:val="24"/>
          <w:szCs w:val="24"/>
          <w:lang w:eastAsia="ru-RU"/>
        </w:rPr>
        <w:t>9. Оператор повинен дати можливість на основі наявних цифрових технологій створити власну корпоративну мережу ГУНП.</w:t>
      </w:r>
    </w:p>
    <w:p w:rsidR="00804AE3" w:rsidRPr="00455018" w:rsidRDefault="00804AE3" w:rsidP="00804AE3">
      <w:pPr>
        <w:suppressAutoHyphens w:val="0"/>
        <w:autoSpaceDE w:val="0"/>
        <w:autoSpaceDN w:val="0"/>
        <w:spacing w:after="0" w:line="240" w:lineRule="auto"/>
        <w:ind w:firstLine="567"/>
        <w:jc w:val="both"/>
        <w:rPr>
          <w:rFonts w:ascii="Times New Roman" w:eastAsia="Times New Roman" w:hAnsi="Times New Roman"/>
          <w:sz w:val="24"/>
          <w:szCs w:val="24"/>
          <w:lang w:eastAsia="ru-RU"/>
        </w:rPr>
      </w:pPr>
      <w:r w:rsidRPr="00455018">
        <w:rPr>
          <w:rFonts w:ascii="Times New Roman" w:eastAsia="Times New Roman" w:hAnsi="Times New Roman"/>
          <w:sz w:val="24"/>
          <w:szCs w:val="24"/>
          <w:lang w:eastAsia="ru-RU"/>
        </w:rPr>
        <w:t>10. Корпоративна мережа ГУНП, в тому числі, буде включати в себе мобільні абонентські термінали передачі даних (планшети) для оперативних мобільних груп (абонентські термінали захищеного фрагменту мережі з використанням криптографічного захисту передачі інформації), які мають бути інтегровані в ІПНП НП України.</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11. Оператор повинен надати доступ до спеціалізованої закритої точки доступу (APN) за допомогою технології GPRS/EDGE/3G/4G. Між Оператором та НПУ має бути створено шифрований VPN </w:t>
      </w:r>
      <w:proofErr w:type="spellStart"/>
      <w:r w:rsidRPr="00455018">
        <w:rPr>
          <w:rFonts w:ascii="Times New Roman" w:eastAsia="Times New Roman" w:hAnsi="Times New Roman"/>
          <w:sz w:val="24"/>
          <w:szCs w:val="24"/>
        </w:rPr>
        <w:t>IPsec</w:t>
      </w:r>
      <w:proofErr w:type="spellEnd"/>
      <w:r w:rsidRPr="00455018">
        <w:rPr>
          <w:rFonts w:ascii="Times New Roman" w:eastAsia="Times New Roman" w:hAnsi="Times New Roman"/>
          <w:sz w:val="24"/>
          <w:szCs w:val="24"/>
        </w:rPr>
        <w:t xml:space="preserve"> тунель. Дані, які будуть курсувати в тунелі, мають бути стійко закодовані механізмом, який є незворотний та можуть буди розкодовані лише на протилежній стороні. Коди шифрування та MTU постійно, в залежності від трафіку та/або встановленого часу, змінюються, що повинно унеможливити їх перехоплення та декодування. За допомогою цього тунелю пакети прикладного рівня від спеціалізованого клієнтського програмного забезпечення </w:t>
      </w:r>
      <w:proofErr w:type="spellStart"/>
      <w:r w:rsidRPr="00455018">
        <w:rPr>
          <w:rFonts w:ascii="Times New Roman" w:eastAsia="Times New Roman" w:hAnsi="Times New Roman"/>
          <w:sz w:val="24"/>
          <w:szCs w:val="24"/>
        </w:rPr>
        <w:t>Lis</w:t>
      </w:r>
      <w:proofErr w:type="spellEnd"/>
      <w:r w:rsidRPr="00455018">
        <w:rPr>
          <w:rFonts w:ascii="Times New Roman" w:eastAsia="Times New Roman" w:hAnsi="Times New Roman"/>
          <w:sz w:val="24"/>
          <w:szCs w:val="24"/>
        </w:rPr>
        <w:t xml:space="preserve">-M </w:t>
      </w:r>
      <w:proofErr w:type="spellStart"/>
      <w:r w:rsidRPr="00455018">
        <w:rPr>
          <w:rFonts w:ascii="Times New Roman" w:eastAsia="Times New Roman" w:hAnsi="Times New Roman"/>
          <w:sz w:val="24"/>
          <w:szCs w:val="24"/>
        </w:rPr>
        <w:t>маршрутизуються</w:t>
      </w:r>
      <w:proofErr w:type="spellEnd"/>
      <w:r w:rsidRPr="00455018">
        <w:rPr>
          <w:rFonts w:ascii="Times New Roman" w:eastAsia="Times New Roman" w:hAnsi="Times New Roman"/>
          <w:sz w:val="24"/>
          <w:szCs w:val="24"/>
        </w:rPr>
        <w:t xml:space="preserve"> лише на </w:t>
      </w:r>
      <w:proofErr w:type="spellStart"/>
      <w:r w:rsidRPr="00455018">
        <w:rPr>
          <w:rFonts w:ascii="Times New Roman" w:eastAsia="Times New Roman" w:hAnsi="Times New Roman"/>
          <w:sz w:val="24"/>
          <w:szCs w:val="24"/>
        </w:rPr>
        <w:t>аутентифікаційний</w:t>
      </w:r>
      <w:proofErr w:type="spellEnd"/>
      <w:r w:rsidRPr="00455018">
        <w:rPr>
          <w:rFonts w:ascii="Times New Roman" w:eastAsia="Times New Roman" w:hAnsi="Times New Roman"/>
          <w:sz w:val="24"/>
          <w:szCs w:val="24"/>
        </w:rPr>
        <w:t xml:space="preserve"> </w:t>
      </w:r>
      <w:proofErr w:type="spellStart"/>
      <w:r w:rsidRPr="00455018">
        <w:rPr>
          <w:rFonts w:ascii="Times New Roman" w:eastAsia="Times New Roman" w:hAnsi="Times New Roman"/>
          <w:sz w:val="24"/>
          <w:szCs w:val="24"/>
        </w:rPr>
        <w:t>proxy</w:t>
      </w:r>
      <w:proofErr w:type="spellEnd"/>
      <w:r w:rsidRPr="00455018">
        <w:rPr>
          <w:rFonts w:ascii="Times New Roman" w:eastAsia="Times New Roman" w:hAnsi="Times New Roman"/>
          <w:sz w:val="24"/>
          <w:szCs w:val="24"/>
        </w:rPr>
        <w:t>-шлюз НПУ, досягають потрібних сервісів та у зворотному напрямку. Тунель, а також спеціалізована закрита точка доступу (APN), обмежені та не мають мати можливості роботи з будь-якими іншими мережами НПУ.</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12. </w:t>
      </w:r>
      <w:r w:rsidRPr="00455018">
        <w:rPr>
          <w:rFonts w:ascii="Times New Roman" w:eastAsia="Times New Roman" w:hAnsi="Times New Roman"/>
          <w:bCs/>
          <w:sz w:val="24"/>
          <w:szCs w:val="24"/>
        </w:rPr>
        <w:t>Забезпечення постійної технічної та сервісної підтримки повинно здійснюватись 24 години на добу, 7 днів на тиждень, 365 діб на рік. Інформування про заплановані (позапланові) технічні роботи повинно виконуватись не менше як за 48 годин. Н</w:t>
      </w:r>
      <w:r w:rsidRPr="00455018">
        <w:rPr>
          <w:rFonts w:ascii="Times New Roman" w:eastAsia="Times New Roman" w:hAnsi="Times New Roman"/>
          <w:sz w:val="24"/>
          <w:szCs w:val="24"/>
        </w:rPr>
        <w:t>е допускається можливості припинення та зміни Оператора телекомунікацій для отримання вищезазначених послуг.</w:t>
      </w:r>
    </w:p>
    <w:p w:rsidR="00804AE3" w:rsidRPr="00455018" w:rsidRDefault="00804AE3" w:rsidP="00804AE3">
      <w:pPr>
        <w:suppressAutoHyphens w:val="0"/>
        <w:autoSpaceDE w:val="0"/>
        <w:autoSpaceDN w:val="0"/>
        <w:spacing w:after="0" w:line="240" w:lineRule="auto"/>
        <w:ind w:firstLine="567"/>
        <w:jc w:val="both"/>
        <w:rPr>
          <w:rFonts w:ascii="Times New Roman" w:eastAsia="Times New Roman" w:hAnsi="Times New Roman"/>
          <w:bCs/>
          <w:sz w:val="24"/>
          <w:szCs w:val="24"/>
          <w:lang w:eastAsia="ru-RU"/>
        </w:rPr>
      </w:pPr>
      <w:r w:rsidRPr="00455018">
        <w:rPr>
          <w:rFonts w:ascii="Times New Roman" w:eastAsia="Times New Roman" w:hAnsi="Times New Roman"/>
          <w:bCs/>
          <w:sz w:val="24"/>
          <w:szCs w:val="24"/>
          <w:lang w:eastAsia="ru-RU"/>
        </w:rPr>
        <w:t>13. Час гарантованого надання послуг при відсутності централізованого електроживлення – від 8-ми годин шляхом живлення комунікаційного обладнання від акумуляторних батарей або електрогенератора при повному відключенні централізованого електроживлення, а за обставин непереборної сили – аварійне відновлення надання послуги продовж 4-х годин.</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14. Призупинення надання телекомунікаційних послуг зв’язку не повинно призводити до порушення роботи загальної телекомунікаційної мережі ГУНП.</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15. Оператор повинен надати можливість перевірки стану службового та особистого рахунків (кількість хвилин, SМS-повідомлень, </w:t>
      </w:r>
      <w:proofErr w:type="spellStart"/>
      <w:r w:rsidRPr="00455018">
        <w:rPr>
          <w:rFonts w:ascii="Times New Roman" w:eastAsia="Times New Roman" w:hAnsi="Times New Roman"/>
          <w:sz w:val="24"/>
          <w:szCs w:val="24"/>
        </w:rPr>
        <w:t>Мбайт</w:t>
      </w:r>
      <w:proofErr w:type="spellEnd"/>
      <w:r w:rsidRPr="00455018">
        <w:rPr>
          <w:rFonts w:ascii="Times New Roman" w:eastAsia="Times New Roman" w:hAnsi="Times New Roman"/>
          <w:sz w:val="24"/>
          <w:szCs w:val="24"/>
        </w:rPr>
        <w:t xml:space="preserve"> тощо) за комбінацією клавіш, або в особистому кабінеті безкоштовно в будь який час.</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16. Оператор повинен надати Замовнику доступ до абонентських номерів Замовника для можливості:</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 • встановлення лімітів за сумою витрат в гривнях або обсягів використаних даних за кожним номером індивідуально.</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 • блокування вихідних дзвінків, SМS-повідомлень на будь які напрямки по кожному номеру індивідуально.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lastRenderedPageBreak/>
        <w:t>17. У разі необхідності Оператор надає Замовнику:</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 • підключення послуги фіксована телефонія.</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 • безкоштовні дзвінки з номерів фіксованої телефонії на мобільні номери Замовника за мінімальну додаткову абонентську плату (з урахуванням усіх податків) з кожного абонентського номеру Замовника окрім номерів, які обслуговуються на тарифних планах.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18. Оператор повинен забезпечити безкоштовне отримання інформації щодо дзвінків абонентів та загальних витрат за допомогою відповідної послуги.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19. Замовник повинен мати право, орієнтуючись виключно на свої потреби, підключати ту кількість абонентів, тарифних планів та пакетів, що вважатиме за потрібне і не повинен бути обмежений Оператором.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20. Тарифні плани абонентів можуть бути змінені за замовленням Клієнта. Зміна тарифного плану проводиться 1 (першого) числа наступного місяця.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21. Оператор повинен виконати заміну втраченої або зіпсованої SІМ-картки протягом дії договору. Гарантійний строк на SІМ – картку складається протягом дії договору. Під час гарантійного строку заміна SIM – картки проводиться безкоштовно.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22. Замовник самостійно розподіляє SІМ - карти по Особовим рахункам, які закріплюються за Замовником. Оператор щомісячно безкоштовно надає Замовнику рахунки по кожному Особовому рахунку.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 xml:space="preserve">23. Оператор повинен оперативно (протягом 30 хвилин з моменту подання запиту) відновити чи блокувати номер на безкоштовній основі.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2</w:t>
      </w:r>
      <w:r>
        <w:rPr>
          <w:rFonts w:ascii="Times New Roman" w:eastAsia="Times New Roman" w:hAnsi="Times New Roman"/>
          <w:sz w:val="24"/>
          <w:szCs w:val="24"/>
        </w:rPr>
        <w:t>4</w:t>
      </w:r>
      <w:r w:rsidRPr="00455018">
        <w:rPr>
          <w:rFonts w:ascii="Times New Roman" w:eastAsia="Times New Roman" w:hAnsi="Times New Roman"/>
          <w:sz w:val="24"/>
          <w:szCs w:val="24"/>
        </w:rPr>
        <w:t xml:space="preserve">. Проведення розрахунків проводиться щомісячно за послуги, отримані у попередньому місяці.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2</w:t>
      </w:r>
      <w:r>
        <w:rPr>
          <w:rFonts w:ascii="Times New Roman" w:eastAsia="Times New Roman" w:hAnsi="Times New Roman"/>
          <w:sz w:val="24"/>
          <w:szCs w:val="24"/>
        </w:rPr>
        <w:t>5</w:t>
      </w:r>
      <w:r w:rsidRPr="00455018">
        <w:rPr>
          <w:rFonts w:ascii="Times New Roman" w:eastAsia="Times New Roman" w:hAnsi="Times New Roman"/>
          <w:sz w:val="24"/>
          <w:szCs w:val="24"/>
        </w:rPr>
        <w:t xml:space="preserve">. Оператор повинен забезпечити закріплення окремого координатора (координаторів) для обслуговування абонентів корпоративної мережі Замовника та організації взаємодії між відповідальними особами Замовника та користувачами послуг корпоративної мережі у будь-який час доби, у тому числі, й у вихідні та святкові дні. </w:t>
      </w:r>
    </w:p>
    <w:p w:rsidR="00804AE3" w:rsidRPr="00455018" w:rsidRDefault="00804AE3" w:rsidP="00804AE3">
      <w:pPr>
        <w:autoSpaceDE w:val="0"/>
        <w:autoSpaceDN w:val="0"/>
        <w:spacing w:after="0" w:line="240" w:lineRule="auto"/>
        <w:ind w:firstLine="567"/>
        <w:jc w:val="both"/>
        <w:rPr>
          <w:rFonts w:ascii="Times New Roman" w:eastAsia="Times New Roman" w:hAnsi="Times New Roman"/>
          <w:sz w:val="24"/>
          <w:szCs w:val="24"/>
        </w:rPr>
      </w:pPr>
      <w:r w:rsidRPr="00455018">
        <w:rPr>
          <w:rFonts w:ascii="Times New Roman" w:eastAsia="Times New Roman" w:hAnsi="Times New Roman"/>
          <w:sz w:val="24"/>
          <w:szCs w:val="24"/>
        </w:rPr>
        <w:t>2</w:t>
      </w:r>
      <w:r>
        <w:rPr>
          <w:rFonts w:ascii="Times New Roman" w:eastAsia="Times New Roman" w:hAnsi="Times New Roman"/>
          <w:sz w:val="24"/>
          <w:szCs w:val="24"/>
        </w:rPr>
        <w:t>6</w:t>
      </w:r>
      <w:r w:rsidRPr="00455018">
        <w:rPr>
          <w:rFonts w:ascii="Times New Roman" w:eastAsia="Times New Roman" w:hAnsi="Times New Roman"/>
          <w:sz w:val="24"/>
          <w:szCs w:val="24"/>
        </w:rPr>
        <w:t>. Оператор повинен мати документи про підтвердження відповідності систем захисту інформації встановленим вимогам у сфері захисту інформації.</w:t>
      </w:r>
    </w:p>
    <w:p w:rsidR="00804AE3" w:rsidRDefault="00804AE3" w:rsidP="00F11B88">
      <w:pPr>
        <w:suppressAutoHyphens w:val="0"/>
        <w:autoSpaceDE w:val="0"/>
        <w:autoSpaceDN w:val="0"/>
        <w:spacing w:after="0" w:line="240" w:lineRule="auto"/>
        <w:ind w:firstLine="567"/>
        <w:jc w:val="both"/>
        <w:rPr>
          <w:rFonts w:ascii="Times New Roman" w:eastAsia="Times New Roman" w:hAnsi="Times New Roman"/>
          <w:bCs/>
          <w:sz w:val="24"/>
          <w:szCs w:val="24"/>
          <w:lang w:eastAsia="ru-RU"/>
        </w:rPr>
      </w:pPr>
      <w:r w:rsidRPr="00455018">
        <w:rPr>
          <w:rFonts w:ascii="Times New Roman" w:eastAsia="Times New Roman" w:hAnsi="Times New Roman"/>
          <w:sz w:val="24"/>
          <w:szCs w:val="24"/>
        </w:rPr>
        <w:t>2</w:t>
      </w:r>
      <w:r>
        <w:rPr>
          <w:rFonts w:ascii="Times New Roman" w:eastAsia="Times New Roman" w:hAnsi="Times New Roman"/>
          <w:sz w:val="24"/>
          <w:szCs w:val="24"/>
        </w:rPr>
        <w:t>7</w:t>
      </w:r>
      <w:r w:rsidRPr="00455018">
        <w:rPr>
          <w:rFonts w:ascii="Times New Roman" w:eastAsia="Times New Roman" w:hAnsi="Times New Roman"/>
          <w:sz w:val="24"/>
          <w:szCs w:val="24"/>
        </w:rPr>
        <w:t xml:space="preserve">. </w:t>
      </w:r>
      <w:r w:rsidRPr="00455018">
        <w:rPr>
          <w:rFonts w:ascii="Times New Roman" w:eastAsia="Times New Roman" w:hAnsi="Times New Roman"/>
          <w:bCs/>
          <w:sz w:val="24"/>
          <w:szCs w:val="24"/>
          <w:lang w:eastAsia="ru-RU"/>
        </w:rPr>
        <w:t>Термін підключення Замовника – не пізніше 3-х календарних днів після укладення Договору.</w:t>
      </w:r>
    </w:p>
    <w:p w:rsidR="00A3247A" w:rsidRDefault="00A3247A" w:rsidP="00F11B88">
      <w:pPr>
        <w:suppressAutoHyphens w:val="0"/>
        <w:autoSpaceDE w:val="0"/>
        <w:autoSpaceDN w:val="0"/>
        <w:spacing w:after="0" w:line="240" w:lineRule="auto"/>
        <w:ind w:firstLine="567"/>
        <w:jc w:val="both"/>
        <w:rPr>
          <w:rFonts w:ascii="Times New Roman" w:eastAsia="Times New Roman" w:hAnsi="Times New Roman"/>
          <w:bCs/>
          <w:sz w:val="24"/>
          <w:szCs w:val="24"/>
          <w:lang w:eastAsia="ru-RU"/>
        </w:rPr>
      </w:pPr>
    </w:p>
    <w:tbl>
      <w:tblPr>
        <w:tblW w:w="10045" w:type="dxa"/>
        <w:tblLook w:val="04A0" w:firstRow="1" w:lastRow="0" w:firstColumn="1" w:lastColumn="0" w:noHBand="0" w:noVBand="1"/>
      </w:tblPr>
      <w:tblGrid>
        <w:gridCol w:w="1278"/>
        <w:gridCol w:w="810"/>
        <w:gridCol w:w="855"/>
        <w:gridCol w:w="851"/>
        <w:gridCol w:w="731"/>
        <w:gridCol w:w="830"/>
        <w:gridCol w:w="1132"/>
        <w:gridCol w:w="1014"/>
        <w:gridCol w:w="846"/>
        <w:gridCol w:w="819"/>
        <w:gridCol w:w="868"/>
        <w:gridCol w:w="11"/>
      </w:tblGrid>
      <w:tr w:rsidR="00845DA2" w:rsidRPr="00DC2B81" w:rsidTr="00BA6220">
        <w:trPr>
          <w:trHeight w:val="413"/>
        </w:trPr>
        <w:tc>
          <w:tcPr>
            <w:tcW w:w="1278" w:type="dxa"/>
            <w:vMerge w:val="restart"/>
            <w:tcBorders>
              <w:top w:val="single" w:sz="4" w:space="0" w:color="auto"/>
              <w:left w:val="single" w:sz="4" w:space="0" w:color="auto"/>
              <w:right w:val="single" w:sz="4" w:space="0" w:color="auto"/>
            </w:tcBorders>
            <w:shd w:val="clear" w:color="000000" w:fill="FFFFFF"/>
            <w:vAlign w:val="center"/>
          </w:tcPr>
          <w:p w:rsidR="00845DA2" w:rsidRPr="00DC2B81" w:rsidRDefault="00845DA2" w:rsidP="00BA6220">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b/>
                <w:bCs/>
                <w:color w:val="000000"/>
                <w:sz w:val="20"/>
                <w:szCs w:val="20"/>
                <w:lang w:eastAsia="uk-UA"/>
              </w:rPr>
              <w:t>Назва послуг, які входять до тарифного пакету</w:t>
            </w:r>
          </w:p>
        </w:tc>
        <w:tc>
          <w:tcPr>
            <w:tcW w:w="8767" w:type="dxa"/>
            <w:gridSpan w:val="11"/>
            <w:tcBorders>
              <w:top w:val="single" w:sz="4" w:space="0" w:color="auto"/>
              <w:left w:val="nil"/>
              <w:bottom w:val="single" w:sz="4" w:space="0" w:color="auto"/>
              <w:right w:val="single" w:sz="4" w:space="0" w:color="auto"/>
            </w:tcBorders>
            <w:shd w:val="clear" w:color="000000" w:fill="FFFFFF"/>
            <w:vAlign w:val="center"/>
          </w:tcPr>
          <w:p w:rsidR="00845DA2" w:rsidRPr="00DC2B81" w:rsidRDefault="00845DA2" w:rsidP="00845DA2">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Тарифний пакет</w:t>
            </w:r>
          </w:p>
        </w:tc>
      </w:tr>
      <w:tr w:rsidR="00845DA2" w:rsidRPr="00DC2B81" w:rsidTr="00BA1A3C">
        <w:trPr>
          <w:trHeight w:val="413"/>
        </w:trPr>
        <w:tc>
          <w:tcPr>
            <w:tcW w:w="1278" w:type="dxa"/>
            <w:vMerge/>
            <w:tcBorders>
              <w:left w:val="single" w:sz="4" w:space="0" w:color="auto"/>
              <w:right w:val="single" w:sz="4" w:space="0" w:color="auto"/>
            </w:tcBorders>
            <w:shd w:val="clear" w:color="000000" w:fill="FFFFFF"/>
            <w:vAlign w:val="center"/>
          </w:tcPr>
          <w:p w:rsidR="00845DA2" w:rsidRPr="00DC2B81" w:rsidRDefault="00845DA2" w:rsidP="00845DA2">
            <w:pPr>
              <w:suppressAutoHyphens w:val="0"/>
              <w:spacing w:after="0" w:line="240" w:lineRule="auto"/>
              <w:rPr>
                <w:rFonts w:ascii="Times New Roman" w:eastAsia="Times New Roman" w:hAnsi="Times New Roman"/>
                <w:color w:val="000000"/>
                <w:sz w:val="18"/>
                <w:szCs w:val="18"/>
                <w:lang w:eastAsia="uk-UA"/>
              </w:rPr>
            </w:pPr>
          </w:p>
        </w:tc>
        <w:tc>
          <w:tcPr>
            <w:tcW w:w="8767" w:type="dxa"/>
            <w:gridSpan w:val="11"/>
            <w:tcBorders>
              <w:top w:val="nil"/>
              <w:left w:val="nil"/>
              <w:bottom w:val="single" w:sz="4" w:space="0" w:color="auto"/>
              <w:right w:val="single" w:sz="4" w:space="0" w:color="auto"/>
            </w:tcBorders>
            <w:shd w:val="clear" w:color="000000" w:fill="FFFFFF"/>
            <w:vAlign w:val="center"/>
          </w:tcPr>
          <w:p w:rsidR="00845DA2" w:rsidRPr="00DC2B81" w:rsidRDefault="00845DA2" w:rsidP="00845DA2">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Сім картка</w:t>
            </w:r>
          </w:p>
        </w:tc>
      </w:tr>
      <w:tr w:rsidR="00845DA2" w:rsidRPr="00DC2B81" w:rsidTr="00BA1A3C">
        <w:trPr>
          <w:gridAfter w:val="1"/>
          <w:wAfter w:w="11" w:type="dxa"/>
          <w:trHeight w:val="413"/>
        </w:trPr>
        <w:tc>
          <w:tcPr>
            <w:tcW w:w="1278" w:type="dxa"/>
            <w:vMerge/>
            <w:tcBorders>
              <w:left w:val="single" w:sz="4" w:space="0" w:color="auto"/>
              <w:bottom w:val="single" w:sz="4" w:space="0" w:color="auto"/>
              <w:right w:val="single" w:sz="4" w:space="0" w:color="auto"/>
            </w:tcBorders>
            <w:shd w:val="clear" w:color="000000" w:fill="FFFFFF"/>
            <w:vAlign w:val="center"/>
          </w:tcPr>
          <w:p w:rsidR="00845DA2" w:rsidRPr="00DC2B81" w:rsidRDefault="00845DA2" w:rsidP="00845DA2">
            <w:pPr>
              <w:suppressAutoHyphens w:val="0"/>
              <w:spacing w:after="0" w:line="240" w:lineRule="auto"/>
              <w:rPr>
                <w:rFonts w:ascii="Times New Roman" w:eastAsia="Times New Roman" w:hAnsi="Times New Roman"/>
                <w:color w:val="000000"/>
                <w:sz w:val="18"/>
                <w:szCs w:val="18"/>
                <w:lang w:eastAsia="uk-UA"/>
              </w:rPr>
            </w:pPr>
          </w:p>
        </w:tc>
        <w:tc>
          <w:tcPr>
            <w:tcW w:w="810" w:type="dxa"/>
            <w:tcBorders>
              <w:top w:val="nil"/>
              <w:left w:val="nil"/>
              <w:bottom w:val="single" w:sz="4" w:space="0" w:color="auto"/>
              <w:right w:val="nil"/>
            </w:tcBorders>
            <w:shd w:val="clear" w:color="000000" w:fill="FFFFFF"/>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43 </w:t>
            </w:r>
            <w:r>
              <w:rPr>
                <w:rFonts w:ascii="Times New Roman" w:eastAsia="Times New Roman" w:hAnsi="Times New Roman"/>
                <w:b/>
                <w:bCs/>
                <w:color w:val="000000"/>
                <w:sz w:val="20"/>
                <w:szCs w:val="20"/>
                <w:lang w:eastAsia="uk-UA"/>
              </w:rPr>
              <w:t>од</w:t>
            </w:r>
            <w:r w:rsidRPr="00DC2B81">
              <w:rPr>
                <w:rFonts w:ascii="Times New Roman" w:eastAsia="Times New Roman" w:hAnsi="Times New Roman"/>
                <w:b/>
                <w:bCs/>
                <w:color w:val="000000"/>
                <w:sz w:val="20"/>
                <w:szCs w:val="20"/>
                <w:lang w:eastAsia="uk-UA"/>
              </w:rPr>
              <w:t>.</w:t>
            </w:r>
          </w:p>
        </w:tc>
        <w:tc>
          <w:tcPr>
            <w:tcW w:w="855" w:type="dxa"/>
            <w:tcBorders>
              <w:top w:val="nil"/>
              <w:left w:val="single" w:sz="4" w:space="0" w:color="auto"/>
              <w:bottom w:val="single" w:sz="4" w:space="0" w:color="auto"/>
              <w:right w:val="single" w:sz="4" w:space="0" w:color="auto"/>
            </w:tcBorders>
            <w:shd w:val="clear" w:color="000000" w:fill="FFFFFF"/>
            <w:noWrap/>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37 </w:t>
            </w:r>
            <w:r>
              <w:rPr>
                <w:rFonts w:ascii="Times New Roman" w:eastAsia="Times New Roman" w:hAnsi="Times New Roman"/>
                <w:b/>
                <w:bCs/>
                <w:color w:val="000000"/>
                <w:sz w:val="20"/>
                <w:szCs w:val="20"/>
                <w:lang w:eastAsia="uk-UA"/>
              </w:rPr>
              <w:t>од</w:t>
            </w:r>
            <w:r w:rsidRPr="00DC2B81">
              <w:rPr>
                <w:rFonts w:ascii="Times New Roman" w:eastAsia="Times New Roman" w:hAnsi="Times New Roman"/>
                <w:b/>
                <w:bCs/>
                <w:color w:val="000000"/>
                <w:sz w:val="20"/>
                <w:szCs w:val="20"/>
                <w:lang w:eastAsia="uk-UA"/>
              </w:rPr>
              <w:t>.</w:t>
            </w:r>
          </w:p>
        </w:tc>
        <w:tc>
          <w:tcPr>
            <w:tcW w:w="851" w:type="dxa"/>
            <w:tcBorders>
              <w:top w:val="nil"/>
              <w:left w:val="nil"/>
              <w:bottom w:val="single" w:sz="4" w:space="0" w:color="auto"/>
              <w:right w:val="single" w:sz="4" w:space="0" w:color="auto"/>
            </w:tcBorders>
            <w:shd w:val="clear" w:color="000000" w:fill="FFFFFF"/>
            <w:noWrap/>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145 </w:t>
            </w:r>
            <w:r>
              <w:rPr>
                <w:rFonts w:ascii="Times New Roman" w:eastAsia="Times New Roman" w:hAnsi="Times New Roman"/>
                <w:b/>
                <w:bCs/>
                <w:color w:val="000000"/>
                <w:sz w:val="20"/>
                <w:szCs w:val="20"/>
                <w:lang w:eastAsia="uk-UA"/>
              </w:rPr>
              <w:t>од</w:t>
            </w:r>
            <w:r w:rsidRPr="00DC2B81">
              <w:rPr>
                <w:rFonts w:ascii="Times New Roman" w:eastAsia="Times New Roman" w:hAnsi="Times New Roman"/>
                <w:b/>
                <w:bCs/>
                <w:color w:val="000000"/>
                <w:sz w:val="20"/>
                <w:szCs w:val="20"/>
                <w:lang w:eastAsia="uk-UA"/>
              </w:rPr>
              <w:t>.</w:t>
            </w:r>
          </w:p>
        </w:tc>
        <w:tc>
          <w:tcPr>
            <w:tcW w:w="731" w:type="dxa"/>
            <w:tcBorders>
              <w:top w:val="nil"/>
              <w:left w:val="nil"/>
              <w:bottom w:val="single" w:sz="4" w:space="0" w:color="auto"/>
              <w:right w:val="single" w:sz="4" w:space="0" w:color="auto"/>
            </w:tcBorders>
            <w:shd w:val="clear" w:color="000000" w:fill="FFFFFF"/>
            <w:noWrap/>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7 </w:t>
            </w:r>
            <w:r>
              <w:rPr>
                <w:rFonts w:ascii="Times New Roman" w:eastAsia="Times New Roman" w:hAnsi="Times New Roman"/>
                <w:b/>
                <w:bCs/>
                <w:color w:val="000000"/>
                <w:sz w:val="20"/>
                <w:szCs w:val="20"/>
                <w:lang w:eastAsia="uk-UA"/>
              </w:rPr>
              <w:t>од</w:t>
            </w:r>
            <w:r w:rsidRPr="00DC2B81">
              <w:rPr>
                <w:rFonts w:ascii="Times New Roman" w:eastAsia="Times New Roman" w:hAnsi="Times New Roman"/>
                <w:b/>
                <w:bCs/>
                <w:color w:val="000000"/>
                <w:sz w:val="20"/>
                <w:szCs w:val="20"/>
                <w:lang w:eastAsia="uk-UA"/>
              </w:rPr>
              <w:t>.</w:t>
            </w:r>
          </w:p>
        </w:tc>
        <w:tc>
          <w:tcPr>
            <w:tcW w:w="830" w:type="dxa"/>
            <w:tcBorders>
              <w:top w:val="nil"/>
              <w:left w:val="nil"/>
              <w:bottom w:val="single" w:sz="4" w:space="0" w:color="auto"/>
              <w:right w:val="single" w:sz="4" w:space="0" w:color="auto"/>
            </w:tcBorders>
            <w:shd w:val="clear" w:color="000000" w:fill="FFFFFF"/>
            <w:noWrap/>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1 </w:t>
            </w:r>
            <w:r>
              <w:rPr>
                <w:rFonts w:ascii="Times New Roman" w:eastAsia="Times New Roman" w:hAnsi="Times New Roman"/>
                <w:b/>
                <w:bCs/>
                <w:color w:val="000000"/>
                <w:sz w:val="20"/>
                <w:szCs w:val="20"/>
                <w:lang w:eastAsia="uk-UA"/>
              </w:rPr>
              <w:t>од</w:t>
            </w:r>
            <w:r w:rsidRPr="00DC2B81">
              <w:rPr>
                <w:rFonts w:ascii="Times New Roman" w:eastAsia="Times New Roman" w:hAnsi="Times New Roman"/>
                <w:b/>
                <w:bCs/>
                <w:color w:val="000000"/>
                <w:sz w:val="20"/>
                <w:szCs w:val="20"/>
                <w:lang w:eastAsia="uk-UA"/>
              </w:rPr>
              <w:t>.</w:t>
            </w:r>
          </w:p>
        </w:tc>
        <w:tc>
          <w:tcPr>
            <w:tcW w:w="1132" w:type="dxa"/>
            <w:tcBorders>
              <w:top w:val="nil"/>
              <w:left w:val="nil"/>
              <w:bottom w:val="single" w:sz="4" w:space="0" w:color="auto"/>
              <w:right w:val="single" w:sz="4" w:space="0" w:color="auto"/>
            </w:tcBorders>
            <w:shd w:val="clear" w:color="000000" w:fill="FFFFFF"/>
            <w:noWrap/>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145 </w:t>
            </w:r>
            <w:r>
              <w:rPr>
                <w:rFonts w:ascii="Times New Roman" w:eastAsia="Times New Roman" w:hAnsi="Times New Roman"/>
                <w:b/>
                <w:bCs/>
                <w:color w:val="000000"/>
                <w:sz w:val="20"/>
                <w:szCs w:val="20"/>
                <w:lang w:eastAsia="uk-UA"/>
              </w:rPr>
              <w:t>од</w:t>
            </w:r>
            <w:r w:rsidRPr="00DC2B81">
              <w:rPr>
                <w:rFonts w:ascii="Times New Roman" w:eastAsia="Times New Roman" w:hAnsi="Times New Roman"/>
                <w:b/>
                <w:bCs/>
                <w:color w:val="000000"/>
                <w:sz w:val="20"/>
                <w:szCs w:val="20"/>
                <w:lang w:eastAsia="uk-UA"/>
              </w:rPr>
              <w:t>.</w:t>
            </w:r>
          </w:p>
        </w:tc>
        <w:tc>
          <w:tcPr>
            <w:tcW w:w="1014" w:type="dxa"/>
            <w:tcBorders>
              <w:top w:val="nil"/>
              <w:left w:val="nil"/>
              <w:bottom w:val="single" w:sz="4" w:space="0" w:color="auto"/>
              <w:right w:val="single" w:sz="4" w:space="0" w:color="auto"/>
            </w:tcBorders>
            <w:shd w:val="clear" w:color="000000" w:fill="FFFFFF"/>
            <w:noWrap/>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6 </w:t>
            </w:r>
            <w:r>
              <w:rPr>
                <w:rFonts w:ascii="Times New Roman" w:eastAsia="Times New Roman" w:hAnsi="Times New Roman"/>
                <w:b/>
                <w:bCs/>
                <w:color w:val="000000"/>
                <w:sz w:val="20"/>
                <w:szCs w:val="20"/>
                <w:lang w:eastAsia="uk-UA"/>
              </w:rPr>
              <w:t>од.</w:t>
            </w:r>
          </w:p>
        </w:tc>
        <w:tc>
          <w:tcPr>
            <w:tcW w:w="846" w:type="dxa"/>
            <w:tcBorders>
              <w:top w:val="nil"/>
              <w:left w:val="nil"/>
              <w:bottom w:val="single" w:sz="4" w:space="0" w:color="auto"/>
              <w:right w:val="single" w:sz="4" w:space="0" w:color="auto"/>
            </w:tcBorders>
            <w:shd w:val="clear" w:color="000000" w:fill="FFFFFF"/>
            <w:noWrap/>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1 </w:t>
            </w:r>
            <w:r>
              <w:rPr>
                <w:rFonts w:ascii="Times New Roman" w:eastAsia="Times New Roman" w:hAnsi="Times New Roman"/>
                <w:b/>
                <w:bCs/>
                <w:color w:val="000000"/>
                <w:sz w:val="20"/>
                <w:szCs w:val="20"/>
                <w:lang w:eastAsia="uk-UA"/>
              </w:rPr>
              <w:t>од</w:t>
            </w:r>
            <w:r w:rsidRPr="00DC2B81">
              <w:rPr>
                <w:rFonts w:ascii="Times New Roman" w:eastAsia="Times New Roman" w:hAnsi="Times New Roman"/>
                <w:b/>
                <w:bCs/>
                <w:color w:val="000000"/>
                <w:sz w:val="20"/>
                <w:szCs w:val="20"/>
                <w:lang w:eastAsia="uk-UA"/>
              </w:rPr>
              <w:t>.</w:t>
            </w:r>
          </w:p>
        </w:tc>
        <w:tc>
          <w:tcPr>
            <w:tcW w:w="819" w:type="dxa"/>
            <w:tcBorders>
              <w:top w:val="nil"/>
              <w:left w:val="nil"/>
              <w:bottom w:val="single" w:sz="4" w:space="0" w:color="auto"/>
              <w:right w:val="single" w:sz="4" w:space="0" w:color="auto"/>
            </w:tcBorders>
            <w:shd w:val="clear" w:color="000000" w:fill="FFFFFF"/>
            <w:noWrap/>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10 </w:t>
            </w:r>
            <w:r>
              <w:rPr>
                <w:rFonts w:ascii="Times New Roman" w:eastAsia="Times New Roman" w:hAnsi="Times New Roman"/>
                <w:b/>
                <w:bCs/>
                <w:color w:val="000000"/>
                <w:sz w:val="20"/>
                <w:szCs w:val="20"/>
                <w:lang w:eastAsia="uk-UA"/>
              </w:rPr>
              <w:t>од</w:t>
            </w:r>
            <w:r w:rsidRPr="00DC2B81">
              <w:rPr>
                <w:rFonts w:ascii="Times New Roman" w:eastAsia="Times New Roman" w:hAnsi="Times New Roman"/>
                <w:b/>
                <w:bCs/>
                <w:color w:val="000000"/>
                <w:sz w:val="20"/>
                <w:szCs w:val="20"/>
                <w:lang w:eastAsia="uk-UA"/>
              </w:rPr>
              <w:t>.</w:t>
            </w:r>
          </w:p>
        </w:tc>
        <w:tc>
          <w:tcPr>
            <w:tcW w:w="868" w:type="dxa"/>
            <w:tcBorders>
              <w:top w:val="nil"/>
              <w:left w:val="nil"/>
              <w:bottom w:val="single" w:sz="4" w:space="0" w:color="auto"/>
              <w:right w:val="single" w:sz="4" w:space="0" w:color="auto"/>
            </w:tcBorders>
            <w:shd w:val="clear" w:color="000000" w:fill="FFFFFF"/>
            <w:noWrap/>
            <w:vAlign w:val="center"/>
          </w:tcPr>
          <w:p w:rsidR="00845DA2" w:rsidRPr="00DC2B81" w:rsidRDefault="00845DA2" w:rsidP="00BA1A3C">
            <w:pPr>
              <w:suppressAutoHyphens w:val="0"/>
              <w:spacing w:after="0" w:line="240" w:lineRule="auto"/>
              <w:jc w:val="center"/>
              <w:rPr>
                <w:rFonts w:ascii="Times New Roman" w:eastAsia="Times New Roman" w:hAnsi="Times New Roman"/>
                <w:b/>
                <w:bCs/>
                <w:color w:val="000000"/>
                <w:sz w:val="20"/>
                <w:szCs w:val="20"/>
                <w:lang w:eastAsia="uk-UA"/>
              </w:rPr>
            </w:pPr>
            <w:r w:rsidRPr="00DC2B81">
              <w:rPr>
                <w:rFonts w:ascii="Times New Roman" w:eastAsia="Times New Roman" w:hAnsi="Times New Roman"/>
                <w:b/>
                <w:bCs/>
                <w:color w:val="000000"/>
                <w:sz w:val="20"/>
                <w:szCs w:val="20"/>
                <w:lang w:eastAsia="uk-UA"/>
              </w:rPr>
              <w:t xml:space="preserve">33 </w:t>
            </w:r>
            <w:r>
              <w:rPr>
                <w:rFonts w:ascii="Times New Roman" w:eastAsia="Times New Roman" w:hAnsi="Times New Roman"/>
                <w:b/>
                <w:bCs/>
                <w:color w:val="000000"/>
                <w:sz w:val="20"/>
                <w:szCs w:val="20"/>
                <w:lang w:eastAsia="uk-UA"/>
              </w:rPr>
              <w:t>од</w:t>
            </w:r>
            <w:r w:rsidRPr="00DC2B81">
              <w:rPr>
                <w:rFonts w:ascii="Times New Roman" w:eastAsia="Times New Roman" w:hAnsi="Times New Roman"/>
                <w:b/>
                <w:bCs/>
                <w:color w:val="000000"/>
                <w:sz w:val="20"/>
                <w:szCs w:val="20"/>
                <w:lang w:eastAsia="uk-UA"/>
              </w:rPr>
              <w:t>.</w:t>
            </w:r>
          </w:p>
        </w:tc>
      </w:tr>
      <w:tr w:rsidR="00845DA2" w:rsidRPr="00DC2B81" w:rsidTr="00BA1A3C">
        <w:trPr>
          <w:gridAfter w:val="1"/>
          <w:wAfter w:w="11" w:type="dxa"/>
          <w:trHeight w:val="413"/>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845DA2" w:rsidRPr="00DC2B81" w:rsidRDefault="00845DA2" w:rsidP="00845DA2">
            <w:pPr>
              <w:suppressAutoHyphens w:val="0"/>
              <w:spacing w:after="0" w:line="240" w:lineRule="auto"/>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Початковий платіж при підключенні</w:t>
            </w:r>
          </w:p>
        </w:tc>
        <w:tc>
          <w:tcPr>
            <w:tcW w:w="810" w:type="dxa"/>
            <w:tcBorders>
              <w:top w:val="nil"/>
              <w:left w:val="nil"/>
              <w:bottom w:val="single" w:sz="4" w:space="0" w:color="auto"/>
              <w:right w:val="nil"/>
            </w:tcBorders>
            <w:shd w:val="clear" w:color="000000" w:fill="FFFFFF"/>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55" w:type="dxa"/>
            <w:tcBorders>
              <w:top w:val="nil"/>
              <w:left w:val="single" w:sz="4" w:space="0" w:color="auto"/>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73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30"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1132"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1014"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46"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19"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20"/>
                <w:szCs w:val="20"/>
                <w:lang w:eastAsia="uk-UA"/>
              </w:rPr>
            </w:pPr>
            <w:r w:rsidRPr="00DC2B81">
              <w:rPr>
                <w:rFonts w:ascii="Times New Roman" w:eastAsia="Times New Roman" w:hAnsi="Times New Roman"/>
                <w:color w:val="000000"/>
                <w:sz w:val="20"/>
                <w:szCs w:val="20"/>
                <w:lang w:eastAsia="uk-UA"/>
              </w:rPr>
              <w:t>0</w:t>
            </w:r>
          </w:p>
        </w:tc>
        <w:tc>
          <w:tcPr>
            <w:tcW w:w="868"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r>
      <w:tr w:rsidR="00845DA2" w:rsidRPr="00DC2B81" w:rsidTr="00BA1A3C">
        <w:trPr>
          <w:gridAfter w:val="1"/>
          <w:wAfter w:w="11" w:type="dxa"/>
          <w:trHeight w:val="50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845DA2" w:rsidRPr="00DC2B81" w:rsidRDefault="00845DA2" w:rsidP="00845DA2">
            <w:pPr>
              <w:suppressAutoHyphens w:val="0"/>
              <w:spacing w:after="0" w:line="240" w:lineRule="auto"/>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Мережа оператора, хв/місяць</w:t>
            </w:r>
          </w:p>
        </w:tc>
        <w:tc>
          <w:tcPr>
            <w:tcW w:w="810" w:type="dxa"/>
            <w:tcBorders>
              <w:top w:val="nil"/>
              <w:left w:val="nil"/>
              <w:bottom w:val="single" w:sz="4" w:space="0" w:color="auto"/>
              <w:right w:val="nil"/>
            </w:tcBorders>
            <w:shd w:val="clear" w:color="000000" w:fill="FFFFFF"/>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15</w:t>
            </w:r>
          </w:p>
        </w:tc>
        <w:tc>
          <w:tcPr>
            <w:tcW w:w="855" w:type="dxa"/>
            <w:tcBorders>
              <w:top w:val="nil"/>
              <w:left w:val="single" w:sz="4" w:space="0" w:color="auto"/>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100</w:t>
            </w:r>
          </w:p>
        </w:tc>
        <w:tc>
          <w:tcPr>
            <w:tcW w:w="85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750</w:t>
            </w:r>
          </w:p>
        </w:tc>
        <w:tc>
          <w:tcPr>
            <w:tcW w:w="73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1000</w:t>
            </w:r>
          </w:p>
        </w:tc>
        <w:tc>
          <w:tcPr>
            <w:tcW w:w="830"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250</w:t>
            </w:r>
          </w:p>
        </w:tc>
        <w:tc>
          <w:tcPr>
            <w:tcW w:w="1132"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1000</w:t>
            </w:r>
          </w:p>
        </w:tc>
        <w:tc>
          <w:tcPr>
            <w:tcW w:w="1014"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46"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20"/>
                <w:szCs w:val="20"/>
                <w:lang w:eastAsia="uk-UA"/>
              </w:rPr>
            </w:pPr>
            <w:proofErr w:type="spellStart"/>
            <w:r w:rsidRPr="00DC2B81">
              <w:rPr>
                <w:rFonts w:ascii="Times New Roman" w:eastAsia="Times New Roman" w:hAnsi="Times New Roman"/>
                <w:color w:val="000000"/>
                <w:sz w:val="20"/>
                <w:szCs w:val="20"/>
                <w:lang w:eastAsia="uk-UA"/>
              </w:rPr>
              <w:t>безлим</w:t>
            </w:r>
            <w:proofErr w:type="spellEnd"/>
          </w:p>
        </w:tc>
        <w:tc>
          <w:tcPr>
            <w:tcW w:w="819"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20"/>
                <w:szCs w:val="20"/>
                <w:lang w:eastAsia="uk-UA"/>
              </w:rPr>
            </w:pPr>
            <w:proofErr w:type="spellStart"/>
            <w:r w:rsidRPr="00DC2B81">
              <w:rPr>
                <w:rFonts w:ascii="Times New Roman" w:eastAsia="Times New Roman" w:hAnsi="Times New Roman"/>
                <w:color w:val="000000"/>
                <w:sz w:val="20"/>
                <w:szCs w:val="20"/>
                <w:lang w:eastAsia="uk-UA"/>
              </w:rPr>
              <w:t>безлим</w:t>
            </w:r>
            <w:proofErr w:type="spellEnd"/>
          </w:p>
        </w:tc>
        <w:tc>
          <w:tcPr>
            <w:tcW w:w="868"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20"/>
                <w:szCs w:val="20"/>
                <w:lang w:eastAsia="uk-UA"/>
              </w:rPr>
            </w:pPr>
            <w:proofErr w:type="spellStart"/>
            <w:r w:rsidRPr="00DC2B81">
              <w:rPr>
                <w:rFonts w:ascii="Times New Roman" w:eastAsia="Times New Roman" w:hAnsi="Times New Roman"/>
                <w:color w:val="000000"/>
                <w:sz w:val="20"/>
                <w:szCs w:val="20"/>
                <w:lang w:eastAsia="uk-UA"/>
              </w:rPr>
              <w:t>безлим</w:t>
            </w:r>
            <w:proofErr w:type="spellEnd"/>
            <w:r w:rsidRPr="00DC2B81">
              <w:rPr>
                <w:rFonts w:ascii="Times New Roman" w:eastAsia="Times New Roman" w:hAnsi="Times New Roman"/>
                <w:color w:val="000000"/>
                <w:sz w:val="20"/>
                <w:szCs w:val="20"/>
                <w:lang w:eastAsia="uk-UA"/>
              </w:rPr>
              <w:t xml:space="preserve"> </w:t>
            </w:r>
          </w:p>
        </w:tc>
      </w:tr>
      <w:tr w:rsidR="00845DA2" w:rsidRPr="00DC2B81" w:rsidTr="00BA1A3C">
        <w:trPr>
          <w:gridAfter w:val="1"/>
          <w:wAfter w:w="11" w:type="dxa"/>
          <w:trHeight w:val="442"/>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845DA2" w:rsidRPr="00DC2B81" w:rsidRDefault="00845DA2" w:rsidP="00845DA2">
            <w:pPr>
              <w:suppressAutoHyphens w:val="0"/>
              <w:spacing w:after="0" w:line="240" w:lineRule="auto"/>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Обсяг SMS, шт./місяць</w:t>
            </w:r>
          </w:p>
        </w:tc>
        <w:tc>
          <w:tcPr>
            <w:tcW w:w="810" w:type="dxa"/>
            <w:tcBorders>
              <w:top w:val="nil"/>
              <w:left w:val="nil"/>
              <w:bottom w:val="single" w:sz="4" w:space="0" w:color="auto"/>
              <w:right w:val="nil"/>
            </w:tcBorders>
            <w:shd w:val="clear" w:color="000000" w:fill="FFFFFF"/>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15</w:t>
            </w:r>
          </w:p>
        </w:tc>
        <w:tc>
          <w:tcPr>
            <w:tcW w:w="855" w:type="dxa"/>
            <w:tcBorders>
              <w:top w:val="nil"/>
              <w:left w:val="single" w:sz="4" w:space="0" w:color="auto"/>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100</w:t>
            </w:r>
          </w:p>
        </w:tc>
        <w:tc>
          <w:tcPr>
            <w:tcW w:w="85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100</w:t>
            </w:r>
          </w:p>
        </w:tc>
        <w:tc>
          <w:tcPr>
            <w:tcW w:w="73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100</w:t>
            </w:r>
          </w:p>
        </w:tc>
        <w:tc>
          <w:tcPr>
            <w:tcW w:w="830"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1132" w:type="dxa"/>
            <w:tcBorders>
              <w:top w:val="nil"/>
              <w:left w:val="nil"/>
              <w:bottom w:val="single" w:sz="4" w:space="0" w:color="auto"/>
              <w:right w:val="single" w:sz="4" w:space="0" w:color="auto"/>
            </w:tcBorders>
            <w:shd w:val="clear" w:color="000000" w:fill="FFFFFF"/>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100             (на номери КС)</w:t>
            </w:r>
          </w:p>
        </w:tc>
        <w:tc>
          <w:tcPr>
            <w:tcW w:w="1014"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100</w:t>
            </w:r>
          </w:p>
        </w:tc>
        <w:tc>
          <w:tcPr>
            <w:tcW w:w="846" w:type="dxa"/>
            <w:tcBorders>
              <w:top w:val="nil"/>
              <w:left w:val="nil"/>
              <w:bottom w:val="single" w:sz="4" w:space="0" w:color="auto"/>
              <w:right w:val="single" w:sz="4" w:space="0" w:color="auto"/>
            </w:tcBorders>
            <w:shd w:val="clear" w:color="000000" w:fill="FFFFFF"/>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w:t>
            </w:r>
          </w:p>
        </w:tc>
        <w:tc>
          <w:tcPr>
            <w:tcW w:w="819"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150</w:t>
            </w:r>
          </w:p>
        </w:tc>
        <w:tc>
          <w:tcPr>
            <w:tcW w:w="868"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300</w:t>
            </w:r>
          </w:p>
        </w:tc>
      </w:tr>
      <w:tr w:rsidR="00845DA2" w:rsidRPr="00DC2B81" w:rsidTr="00BA1A3C">
        <w:trPr>
          <w:gridAfter w:val="1"/>
          <w:wAfter w:w="11" w:type="dxa"/>
          <w:trHeight w:val="712"/>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845DA2" w:rsidRPr="00DC2B81" w:rsidRDefault="00845DA2" w:rsidP="00845DA2">
            <w:pPr>
              <w:suppressAutoHyphens w:val="0"/>
              <w:spacing w:after="0" w:line="240" w:lineRule="auto"/>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Обсяг хвилин на інших операторів /місяць</w:t>
            </w:r>
          </w:p>
        </w:tc>
        <w:tc>
          <w:tcPr>
            <w:tcW w:w="810" w:type="dxa"/>
            <w:tcBorders>
              <w:top w:val="nil"/>
              <w:left w:val="nil"/>
              <w:bottom w:val="single" w:sz="4" w:space="0" w:color="auto"/>
              <w:right w:val="nil"/>
            </w:tcBorders>
            <w:shd w:val="clear" w:color="000000" w:fill="FFFFFF"/>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55" w:type="dxa"/>
            <w:tcBorders>
              <w:top w:val="nil"/>
              <w:left w:val="single" w:sz="4" w:space="0" w:color="auto"/>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73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30"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1132"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1014"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846"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50</w:t>
            </w:r>
          </w:p>
        </w:tc>
        <w:tc>
          <w:tcPr>
            <w:tcW w:w="819"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200</w:t>
            </w:r>
          </w:p>
        </w:tc>
        <w:tc>
          <w:tcPr>
            <w:tcW w:w="868"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400</w:t>
            </w:r>
          </w:p>
        </w:tc>
      </w:tr>
      <w:tr w:rsidR="00845DA2" w:rsidRPr="00DC2B81" w:rsidTr="00BA1A3C">
        <w:trPr>
          <w:gridAfter w:val="1"/>
          <w:wAfter w:w="11" w:type="dxa"/>
          <w:trHeight w:val="519"/>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845DA2" w:rsidRPr="00DC2B81" w:rsidRDefault="00845DA2" w:rsidP="00845DA2">
            <w:pPr>
              <w:suppressAutoHyphens w:val="0"/>
              <w:spacing w:after="0" w:line="240" w:lineRule="auto"/>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Інтернет, Мбайт/місяць</w:t>
            </w:r>
          </w:p>
        </w:tc>
        <w:tc>
          <w:tcPr>
            <w:tcW w:w="810" w:type="dxa"/>
            <w:tcBorders>
              <w:top w:val="nil"/>
              <w:left w:val="nil"/>
              <w:bottom w:val="single" w:sz="4" w:space="0" w:color="auto"/>
              <w:right w:val="nil"/>
            </w:tcBorders>
            <w:shd w:val="clear" w:color="000000" w:fill="FFFFFF"/>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15</w:t>
            </w:r>
          </w:p>
        </w:tc>
        <w:tc>
          <w:tcPr>
            <w:tcW w:w="855" w:type="dxa"/>
            <w:tcBorders>
              <w:top w:val="nil"/>
              <w:left w:val="single" w:sz="4" w:space="0" w:color="auto"/>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300</w:t>
            </w:r>
          </w:p>
        </w:tc>
        <w:tc>
          <w:tcPr>
            <w:tcW w:w="85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3000</w:t>
            </w:r>
          </w:p>
        </w:tc>
        <w:tc>
          <w:tcPr>
            <w:tcW w:w="731"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5000</w:t>
            </w:r>
          </w:p>
        </w:tc>
        <w:tc>
          <w:tcPr>
            <w:tcW w:w="830"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0</w:t>
            </w:r>
          </w:p>
        </w:tc>
        <w:tc>
          <w:tcPr>
            <w:tcW w:w="1132"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1000</w:t>
            </w:r>
          </w:p>
        </w:tc>
        <w:tc>
          <w:tcPr>
            <w:tcW w:w="1014"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20"/>
                <w:szCs w:val="20"/>
                <w:lang w:eastAsia="uk-UA"/>
              </w:rPr>
            </w:pPr>
            <w:proofErr w:type="spellStart"/>
            <w:r w:rsidRPr="00DC2B81">
              <w:rPr>
                <w:rFonts w:ascii="Times New Roman" w:eastAsia="Times New Roman" w:hAnsi="Times New Roman"/>
                <w:color w:val="000000"/>
                <w:sz w:val="20"/>
                <w:szCs w:val="20"/>
                <w:lang w:eastAsia="uk-UA"/>
              </w:rPr>
              <w:t>безлим</w:t>
            </w:r>
            <w:proofErr w:type="spellEnd"/>
          </w:p>
        </w:tc>
        <w:tc>
          <w:tcPr>
            <w:tcW w:w="846"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5000</w:t>
            </w:r>
          </w:p>
        </w:tc>
        <w:tc>
          <w:tcPr>
            <w:tcW w:w="819"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18"/>
                <w:szCs w:val="18"/>
                <w:lang w:eastAsia="uk-UA"/>
              </w:rPr>
            </w:pPr>
            <w:r w:rsidRPr="00DC2B81">
              <w:rPr>
                <w:rFonts w:ascii="Times New Roman" w:eastAsia="Times New Roman" w:hAnsi="Times New Roman"/>
                <w:color w:val="000000"/>
                <w:sz w:val="18"/>
                <w:szCs w:val="18"/>
                <w:lang w:eastAsia="uk-UA"/>
              </w:rPr>
              <w:t>30000</w:t>
            </w:r>
          </w:p>
        </w:tc>
        <w:tc>
          <w:tcPr>
            <w:tcW w:w="868" w:type="dxa"/>
            <w:tcBorders>
              <w:top w:val="nil"/>
              <w:left w:val="nil"/>
              <w:bottom w:val="single" w:sz="4" w:space="0" w:color="auto"/>
              <w:right w:val="single" w:sz="4" w:space="0" w:color="auto"/>
            </w:tcBorders>
            <w:shd w:val="clear" w:color="000000" w:fill="FFFFFF"/>
            <w:noWrap/>
            <w:vAlign w:val="center"/>
            <w:hideMark/>
          </w:tcPr>
          <w:p w:rsidR="00845DA2" w:rsidRPr="00DC2B81" w:rsidRDefault="00845DA2" w:rsidP="00845DA2">
            <w:pPr>
              <w:suppressAutoHyphens w:val="0"/>
              <w:spacing w:after="0" w:line="240" w:lineRule="auto"/>
              <w:jc w:val="center"/>
              <w:rPr>
                <w:rFonts w:ascii="Times New Roman" w:eastAsia="Times New Roman" w:hAnsi="Times New Roman"/>
                <w:color w:val="000000"/>
                <w:sz w:val="20"/>
                <w:szCs w:val="20"/>
                <w:lang w:eastAsia="uk-UA"/>
              </w:rPr>
            </w:pPr>
            <w:proofErr w:type="spellStart"/>
            <w:r w:rsidRPr="00DC2B81">
              <w:rPr>
                <w:rFonts w:ascii="Times New Roman" w:eastAsia="Times New Roman" w:hAnsi="Times New Roman"/>
                <w:color w:val="000000"/>
                <w:sz w:val="20"/>
                <w:szCs w:val="20"/>
                <w:lang w:eastAsia="uk-UA"/>
              </w:rPr>
              <w:t>безлим</w:t>
            </w:r>
            <w:proofErr w:type="spellEnd"/>
            <w:r w:rsidRPr="00DC2B81">
              <w:rPr>
                <w:rFonts w:ascii="Times New Roman" w:eastAsia="Times New Roman" w:hAnsi="Times New Roman"/>
                <w:color w:val="000000"/>
                <w:sz w:val="20"/>
                <w:szCs w:val="20"/>
                <w:lang w:eastAsia="uk-UA"/>
              </w:rPr>
              <w:t xml:space="preserve"> </w:t>
            </w:r>
          </w:p>
        </w:tc>
      </w:tr>
    </w:tbl>
    <w:p w:rsidR="00077ABB" w:rsidRDefault="00077ABB" w:rsidP="002E5B15">
      <w:pPr>
        <w:ind w:firstLine="567"/>
        <w:jc w:val="both"/>
        <w:rPr>
          <w:rFonts w:ascii="Times New Roman" w:hAnsi="Times New Roman"/>
          <w:b/>
          <w:color w:val="000000"/>
          <w:sz w:val="24"/>
          <w:szCs w:val="24"/>
        </w:rPr>
      </w:pPr>
    </w:p>
    <w:p w:rsidR="00F374AE" w:rsidRDefault="00804AE3" w:rsidP="00077ABB">
      <w:pPr>
        <w:ind w:firstLine="567"/>
        <w:jc w:val="both"/>
      </w:pPr>
      <w:r w:rsidRPr="002E5B15">
        <w:rPr>
          <w:rFonts w:ascii="Times New Roman" w:hAnsi="Times New Roman"/>
          <w:b/>
          <w:color w:val="000000"/>
          <w:sz w:val="24"/>
          <w:szCs w:val="24"/>
        </w:rPr>
        <w:t xml:space="preserve">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w:t>
      </w:r>
      <w:r w:rsidRPr="002E5B15">
        <w:rPr>
          <w:rFonts w:ascii="Times New Roman" w:hAnsi="Times New Roman"/>
          <w:b/>
          <w:sz w:val="24"/>
          <w:szCs w:val="24"/>
        </w:rPr>
        <w:t>Технічній специфікації (Додаток № 4</w:t>
      </w:r>
      <w:r w:rsidRPr="002E5B15">
        <w:rPr>
          <w:rFonts w:ascii="Times New Roman" w:hAnsi="Times New Roman"/>
          <w:b/>
          <w:color w:val="000000"/>
          <w:sz w:val="24"/>
          <w:szCs w:val="24"/>
        </w:rPr>
        <w:t xml:space="preserve"> до тендерної документації).</w:t>
      </w:r>
    </w:p>
    <w:sectPr w:rsidR="00F374AE" w:rsidSect="00A3247A">
      <w:pgSz w:w="11906" w:h="16838"/>
      <w:pgMar w:top="426" w:right="707"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804AE3"/>
    <w:rsid w:val="000162F4"/>
    <w:rsid w:val="000669E6"/>
    <w:rsid w:val="00077ABB"/>
    <w:rsid w:val="00285A10"/>
    <w:rsid w:val="002968F6"/>
    <w:rsid w:val="002E5B15"/>
    <w:rsid w:val="003A2C06"/>
    <w:rsid w:val="00563DA5"/>
    <w:rsid w:val="00604DB8"/>
    <w:rsid w:val="0072158D"/>
    <w:rsid w:val="00804AE3"/>
    <w:rsid w:val="00831D7B"/>
    <w:rsid w:val="00845DA2"/>
    <w:rsid w:val="00A3247A"/>
    <w:rsid w:val="00AE5BF5"/>
    <w:rsid w:val="00BA1A3C"/>
    <w:rsid w:val="00BA6220"/>
    <w:rsid w:val="00C2540F"/>
    <w:rsid w:val="00F11B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8C92"/>
  <w15:docId w15:val="{DF439CD2-56C6-420C-A6F9-BEF0BF6D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line="276"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AE3"/>
    <w:pPr>
      <w:suppressAutoHyphens/>
      <w:spacing w:after="200"/>
      <w:ind w:left="0"/>
      <w:jc w:val="left"/>
    </w:pPr>
    <w:rPr>
      <w:rFonts w:ascii="Calibri" w:eastAsia="Calibri" w:hAnsi="Calibri" w:cs="Times New Roman"/>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4AE3"/>
    <w:pPr>
      <w:suppressAutoHyphens/>
      <w:spacing w:line="240" w:lineRule="auto"/>
      <w:ind w:left="0"/>
      <w:jc w:val="left"/>
    </w:pPr>
    <w:rPr>
      <w:rFonts w:ascii="Calibri" w:eastAsia="Calibri" w:hAnsi="Calibri" w:cs="Times New Roman"/>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4310</Words>
  <Characters>2457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dcterms:created xsi:type="dcterms:W3CDTF">2026-02-04T13:47:00Z</dcterms:created>
  <dcterms:modified xsi:type="dcterms:W3CDTF">2026-02-06T16:04:00Z</dcterms:modified>
</cp:coreProperties>
</file>