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7F0097" w:rsidRDefault="004019E1" w:rsidP="005B567A">
      <w:pPr>
        <w:jc w:val="center"/>
        <w:rPr>
          <w:rFonts w:ascii="Times New Roman" w:hAnsi="Times New Roman" w:cs="Times New Roman"/>
          <w:b/>
          <w:sz w:val="24"/>
          <w:szCs w:val="24"/>
        </w:rPr>
      </w:pPr>
      <w:r w:rsidRPr="007F0097">
        <w:rPr>
          <w:rFonts w:ascii="Times New Roman" w:hAnsi="Times New Roman" w:cs="Times New Roman"/>
          <w:b/>
          <w:sz w:val="24"/>
          <w:szCs w:val="24"/>
        </w:rPr>
        <w:t>Інформація щодо виконання вимог пункту 4-1 постанови КМУ від 11.10.2016 № 710, закупівля</w:t>
      </w:r>
      <w:r w:rsidRPr="007F0097">
        <w:rPr>
          <w:rFonts w:ascii="Times New Roman" w:hAnsi="Times New Roman" w:cs="Times New Roman"/>
          <w:sz w:val="24"/>
          <w:szCs w:val="24"/>
        </w:rPr>
        <w:t xml:space="preserve"> </w:t>
      </w:r>
      <w:r w:rsidRPr="007F0097">
        <w:rPr>
          <w:rFonts w:ascii="Times New Roman" w:hAnsi="Times New Roman" w:cs="Times New Roman"/>
          <w:b/>
          <w:sz w:val="24"/>
          <w:szCs w:val="24"/>
        </w:rPr>
        <w:t>UA-202</w:t>
      </w:r>
      <w:r w:rsidR="007B031E">
        <w:rPr>
          <w:rFonts w:ascii="Times New Roman" w:hAnsi="Times New Roman" w:cs="Times New Roman"/>
          <w:b/>
          <w:sz w:val="24"/>
          <w:szCs w:val="24"/>
        </w:rPr>
        <w:t>5</w:t>
      </w:r>
      <w:r w:rsidRPr="007F0097">
        <w:rPr>
          <w:rFonts w:ascii="Times New Roman" w:hAnsi="Times New Roman" w:cs="Times New Roman"/>
          <w:b/>
          <w:sz w:val="24"/>
          <w:szCs w:val="24"/>
        </w:rPr>
        <w:t>-</w:t>
      </w:r>
      <w:r w:rsidR="009E2D90">
        <w:rPr>
          <w:rFonts w:ascii="Times New Roman" w:hAnsi="Times New Roman" w:cs="Times New Roman"/>
          <w:b/>
          <w:sz w:val="24"/>
          <w:szCs w:val="24"/>
        </w:rPr>
        <w:t>12</w:t>
      </w:r>
      <w:r w:rsidRPr="007F0097">
        <w:rPr>
          <w:rFonts w:ascii="Times New Roman" w:hAnsi="Times New Roman" w:cs="Times New Roman"/>
          <w:b/>
          <w:sz w:val="24"/>
          <w:szCs w:val="24"/>
        </w:rPr>
        <w:t>-</w:t>
      </w:r>
      <w:r w:rsidR="001323C5" w:rsidRPr="001323C5">
        <w:rPr>
          <w:rFonts w:ascii="Times New Roman" w:hAnsi="Times New Roman" w:cs="Times New Roman"/>
          <w:b/>
          <w:sz w:val="24"/>
          <w:szCs w:val="24"/>
          <w:lang w:val="ru-RU"/>
        </w:rPr>
        <w:t>02</w:t>
      </w:r>
      <w:r w:rsidRPr="007F0097">
        <w:rPr>
          <w:rFonts w:ascii="Times New Roman" w:hAnsi="Times New Roman" w:cs="Times New Roman"/>
          <w:b/>
          <w:sz w:val="24"/>
          <w:szCs w:val="24"/>
        </w:rPr>
        <w:t>-0</w:t>
      </w:r>
      <w:r w:rsidR="001323C5" w:rsidRPr="001323C5">
        <w:rPr>
          <w:rFonts w:ascii="Times New Roman" w:hAnsi="Times New Roman" w:cs="Times New Roman"/>
          <w:b/>
          <w:sz w:val="24"/>
          <w:szCs w:val="24"/>
          <w:lang w:val="ru-RU"/>
        </w:rPr>
        <w:t>08631</w:t>
      </w:r>
      <w:r w:rsidRPr="007F0097">
        <w:rPr>
          <w:rFonts w:ascii="Times New Roman" w:hAnsi="Times New Roman" w:cs="Times New Roman"/>
          <w:b/>
          <w:sz w:val="24"/>
          <w:szCs w:val="24"/>
        </w:rPr>
        <w:t>-</w:t>
      </w:r>
      <w:r w:rsidR="001464EA" w:rsidRPr="007F0097">
        <w:rPr>
          <w:rFonts w:ascii="Times New Roman" w:hAnsi="Times New Roman" w:cs="Times New Roman"/>
          <w:b/>
          <w:sz w:val="24"/>
          <w:szCs w:val="24"/>
          <w:lang w:val="en-US"/>
        </w:rPr>
        <w:t>a</w:t>
      </w:r>
    </w:p>
    <w:p w:rsidR="004019E1" w:rsidRPr="007F0097" w:rsidRDefault="00A0018F" w:rsidP="005B567A">
      <w:pPr>
        <w:jc w:val="center"/>
        <w:rPr>
          <w:rFonts w:ascii="Times New Roman" w:hAnsi="Times New Roman" w:cs="Times New Roman"/>
          <w:b/>
          <w:sz w:val="24"/>
          <w:szCs w:val="24"/>
        </w:rPr>
      </w:pPr>
      <w:r w:rsidRPr="007F0097">
        <w:rPr>
          <w:rFonts w:ascii="Times New Roman" w:hAnsi="Times New Roman" w:cs="Times New Roman"/>
          <w:b/>
          <w:sz w:val="24"/>
          <w:szCs w:val="24"/>
        </w:rPr>
        <w:t>«</w:t>
      </w:r>
      <w:r w:rsidR="007F61AF">
        <w:rPr>
          <w:rFonts w:ascii="Times New Roman" w:hAnsi="Times New Roman" w:cs="Times New Roman"/>
          <w:b/>
          <w:sz w:val="24"/>
          <w:szCs w:val="24"/>
        </w:rPr>
        <w:t>Електрична енергія</w:t>
      </w:r>
      <w:r w:rsidRPr="007F0097">
        <w:rPr>
          <w:rFonts w:ascii="Times New Roman" w:hAnsi="Times New Roman" w:cs="Times New Roman"/>
          <w:b/>
          <w:sz w:val="24"/>
          <w:szCs w:val="24"/>
        </w:rPr>
        <w:t>»</w:t>
      </w:r>
    </w:p>
    <w:p w:rsidR="0061330F" w:rsidRPr="007F0097" w:rsidRDefault="0061330F" w:rsidP="0061330F">
      <w:pPr>
        <w:pStyle w:val="a5"/>
        <w:numPr>
          <w:ilvl w:val="0"/>
          <w:numId w:val="3"/>
        </w:numPr>
        <w:rPr>
          <w:b/>
        </w:rPr>
      </w:pPr>
      <w:proofErr w:type="spellStart"/>
      <w:r w:rsidRPr="007F0097">
        <w:rPr>
          <w:b/>
        </w:rPr>
        <w:t>Назва</w:t>
      </w:r>
      <w:proofErr w:type="spellEnd"/>
      <w:r w:rsidRPr="007F0097">
        <w:rPr>
          <w:b/>
        </w:rPr>
        <w:t xml:space="preserve"> предмета </w:t>
      </w:r>
      <w:proofErr w:type="spellStart"/>
      <w:r w:rsidRPr="007F0097">
        <w:rPr>
          <w:b/>
        </w:rPr>
        <w:t>закупівлі</w:t>
      </w:r>
      <w:proofErr w:type="spellEnd"/>
      <w:r w:rsidRPr="007F0097">
        <w:rPr>
          <w:b/>
          <w:lang w:val="uk-UA"/>
        </w:rPr>
        <w:t>:</w:t>
      </w:r>
    </w:p>
    <w:p w:rsidR="0061330F" w:rsidRPr="007F0097" w:rsidRDefault="00BC58D8" w:rsidP="0061330F">
      <w:pPr>
        <w:pStyle w:val="a5"/>
        <w:ind w:left="0" w:firstLine="709"/>
        <w:jc w:val="both"/>
        <w:rPr>
          <w:lang w:val="uk-UA"/>
        </w:rPr>
      </w:pPr>
      <w:r w:rsidRPr="007F0097">
        <w:rPr>
          <w:rFonts w:eastAsia="Times New Roman"/>
          <w:b/>
          <w:noProof/>
        </w:rPr>
        <w:t xml:space="preserve">Електрична енергія, </w:t>
      </w:r>
      <w:r w:rsidRPr="007F0097">
        <w:rPr>
          <w:b/>
          <w:bCs/>
          <w:noProof/>
        </w:rPr>
        <w:t xml:space="preserve">код ДК 021:2015:09310000-5 – Електрична енергія </w:t>
      </w:r>
      <w:r w:rsidRPr="007F0097">
        <w:rPr>
          <w:noProof/>
          <w:color w:val="000000"/>
        </w:rPr>
        <w:t>Єдиного закупівельного словника</w:t>
      </w:r>
    </w:p>
    <w:p w:rsidR="0061330F" w:rsidRPr="007F0097" w:rsidRDefault="00510637" w:rsidP="0061330F">
      <w:pPr>
        <w:pStyle w:val="a5"/>
        <w:ind w:left="0" w:firstLine="709"/>
        <w:jc w:val="both"/>
        <w:rPr>
          <w:lang w:val="uk-UA"/>
        </w:rPr>
      </w:pPr>
      <w:r w:rsidRPr="007F0097">
        <w:rPr>
          <w:lang w:val="uk-UA"/>
        </w:rPr>
        <w:t>Далі – Товар.</w:t>
      </w:r>
    </w:p>
    <w:p w:rsidR="0061330F" w:rsidRPr="007F0097" w:rsidRDefault="0061330F" w:rsidP="0061330F">
      <w:pPr>
        <w:pStyle w:val="a5"/>
        <w:numPr>
          <w:ilvl w:val="0"/>
          <w:numId w:val="3"/>
        </w:numPr>
        <w:jc w:val="both"/>
        <w:rPr>
          <w:b/>
        </w:rPr>
      </w:pPr>
      <w:proofErr w:type="spellStart"/>
      <w:r w:rsidRPr="007F0097">
        <w:rPr>
          <w:b/>
        </w:rPr>
        <w:t>Ідентифікатор</w:t>
      </w:r>
      <w:proofErr w:type="spellEnd"/>
      <w:r w:rsidRPr="007F0097">
        <w:rPr>
          <w:b/>
        </w:rPr>
        <w:t xml:space="preserve"> </w:t>
      </w:r>
      <w:proofErr w:type="spellStart"/>
      <w:r w:rsidRPr="007F0097">
        <w:rPr>
          <w:b/>
        </w:rPr>
        <w:t>закупівлі</w:t>
      </w:r>
      <w:proofErr w:type="spellEnd"/>
      <w:r w:rsidRPr="007F0097">
        <w:rPr>
          <w:b/>
          <w:lang w:val="uk-UA"/>
        </w:rPr>
        <w:t xml:space="preserve">:  </w:t>
      </w:r>
      <w:r w:rsidR="006E602C" w:rsidRPr="007F0097">
        <w:rPr>
          <w:b/>
          <w:shd w:val="clear" w:color="auto" w:fill="FFFFFF"/>
        </w:rPr>
        <w:t>UA-202</w:t>
      </w:r>
      <w:r w:rsidR="001323C5">
        <w:rPr>
          <w:b/>
          <w:shd w:val="clear" w:color="auto" w:fill="FFFFFF"/>
          <w:lang w:val="en-US"/>
        </w:rPr>
        <w:t>5</w:t>
      </w:r>
      <w:r w:rsidR="006E602C" w:rsidRPr="007F0097">
        <w:rPr>
          <w:b/>
          <w:shd w:val="clear" w:color="auto" w:fill="FFFFFF"/>
        </w:rPr>
        <w:t>-</w:t>
      </w:r>
      <w:r w:rsidR="009E2D90">
        <w:rPr>
          <w:b/>
          <w:shd w:val="clear" w:color="auto" w:fill="FFFFFF"/>
          <w:lang w:val="uk-UA"/>
        </w:rPr>
        <w:t>12</w:t>
      </w:r>
      <w:r w:rsidR="006E602C" w:rsidRPr="007F0097">
        <w:rPr>
          <w:b/>
          <w:shd w:val="clear" w:color="auto" w:fill="FFFFFF"/>
        </w:rPr>
        <w:t>-</w:t>
      </w:r>
      <w:r w:rsidR="001323C5">
        <w:rPr>
          <w:b/>
          <w:shd w:val="clear" w:color="auto" w:fill="FFFFFF"/>
          <w:lang w:val="en-US"/>
        </w:rPr>
        <w:t>02</w:t>
      </w:r>
      <w:r w:rsidR="006E602C" w:rsidRPr="007F0097">
        <w:rPr>
          <w:b/>
          <w:shd w:val="clear" w:color="auto" w:fill="FFFFFF"/>
        </w:rPr>
        <w:t>-0</w:t>
      </w:r>
      <w:r w:rsidR="001323C5">
        <w:rPr>
          <w:b/>
          <w:shd w:val="clear" w:color="auto" w:fill="FFFFFF"/>
          <w:lang w:val="en-US"/>
        </w:rPr>
        <w:t>08631</w:t>
      </w:r>
      <w:bookmarkStart w:id="0" w:name="_GoBack"/>
      <w:bookmarkEnd w:id="0"/>
      <w:r w:rsidR="006E602C" w:rsidRPr="007F0097">
        <w:rPr>
          <w:b/>
          <w:shd w:val="clear" w:color="auto" w:fill="FFFFFF"/>
        </w:rPr>
        <w:t>-a</w:t>
      </w:r>
    </w:p>
    <w:p w:rsidR="0061330F" w:rsidRPr="007F0097" w:rsidRDefault="0061330F" w:rsidP="0061330F">
      <w:pPr>
        <w:pStyle w:val="a5"/>
        <w:ind w:left="928"/>
        <w:jc w:val="both"/>
      </w:pPr>
    </w:p>
    <w:p w:rsidR="0061330F" w:rsidRPr="007F0097" w:rsidRDefault="0061330F" w:rsidP="0061330F">
      <w:pPr>
        <w:pStyle w:val="a5"/>
        <w:numPr>
          <w:ilvl w:val="0"/>
          <w:numId w:val="3"/>
        </w:numPr>
        <w:rPr>
          <w:b/>
        </w:rPr>
      </w:pPr>
      <w:proofErr w:type="spellStart"/>
      <w:r w:rsidRPr="007F0097">
        <w:rPr>
          <w:b/>
        </w:rPr>
        <w:t>Розрахунок</w:t>
      </w:r>
      <w:proofErr w:type="spellEnd"/>
      <w:r w:rsidRPr="007F0097">
        <w:rPr>
          <w:b/>
        </w:rPr>
        <w:t xml:space="preserve"> </w:t>
      </w:r>
      <w:proofErr w:type="spellStart"/>
      <w:r w:rsidRPr="007F0097">
        <w:rPr>
          <w:b/>
        </w:rPr>
        <w:t>очікуваної</w:t>
      </w:r>
      <w:proofErr w:type="spellEnd"/>
      <w:r w:rsidRPr="007F0097">
        <w:rPr>
          <w:b/>
        </w:rPr>
        <w:t xml:space="preserve"> </w:t>
      </w:r>
      <w:proofErr w:type="spellStart"/>
      <w:r w:rsidRPr="007F0097">
        <w:rPr>
          <w:b/>
        </w:rPr>
        <w:t>вартості</w:t>
      </w:r>
      <w:proofErr w:type="spellEnd"/>
      <w:r w:rsidRPr="007F0097">
        <w:rPr>
          <w:b/>
        </w:rPr>
        <w:t xml:space="preserve"> предмета закупівлі</w:t>
      </w:r>
      <w:r w:rsidRPr="007F0097">
        <w:rPr>
          <w:b/>
          <w:lang w:val="uk-UA"/>
        </w:rPr>
        <w:t>:</w:t>
      </w:r>
    </w:p>
    <w:p w:rsidR="00EA468D" w:rsidRPr="003177EF" w:rsidRDefault="003177EF" w:rsidP="00EA468D">
      <w:pPr>
        <w:pStyle w:val="a5"/>
        <w:ind w:left="928"/>
        <w:rPr>
          <w:b/>
          <w:lang w:val="uk-UA"/>
        </w:rPr>
      </w:pPr>
      <w:r>
        <w:rPr>
          <w:b/>
          <w:lang w:val="uk-UA"/>
        </w:rPr>
        <w:t>Розрахунок здійснюється на очікувану вартість на 202</w:t>
      </w:r>
      <w:r w:rsidR="007B031E">
        <w:rPr>
          <w:b/>
          <w:lang w:val="uk-UA"/>
        </w:rPr>
        <w:t>6</w:t>
      </w:r>
      <w:r>
        <w:rPr>
          <w:b/>
          <w:lang w:val="uk-UA"/>
        </w:rPr>
        <w:t xml:space="preserve"> рік.</w:t>
      </w:r>
    </w:p>
    <w:p w:rsidR="00D71C48" w:rsidRPr="007F0097" w:rsidRDefault="00D71C48" w:rsidP="00D71C48">
      <w:pPr>
        <w:spacing w:after="0"/>
        <w:ind w:firstLine="425"/>
        <w:jc w:val="both"/>
        <w:rPr>
          <w:rFonts w:ascii="Times New Roman" w:hAnsi="Times New Roman" w:cs="Times New Roman"/>
          <w:sz w:val="24"/>
          <w:szCs w:val="24"/>
        </w:rPr>
      </w:pPr>
      <w:r w:rsidRPr="007F0097">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D606B2" w:rsidRPr="007F0097" w:rsidRDefault="00D606B2" w:rsidP="00D606B2">
      <w:pPr>
        <w:pStyle w:val="a5"/>
        <w:ind w:left="928"/>
        <w:rPr>
          <w:b/>
          <w:lang w:val="uk-UA"/>
        </w:rPr>
      </w:pPr>
      <w:r w:rsidRPr="007F0097">
        <w:rPr>
          <w:b/>
          <w:lang w:val="uk-UA"/>
        </w:rPr>
        <w:t xml:space="preserve">Обсяг закупівлі становить </w:t>
      </w:r>
      <w:r w:rsidR="008E185F">
        <w:rPr>
          <w:b/>
          <w:lang w:val="uk-UA"/>
        </w:rPr>
        <w:t>7 000</w:t>
      </w:r>
      <w:r w:rsidR="00AD1C24">
        <w:rPr>
          <w:b/>
          <w:lang w:val="uk-UA"/>
        </w:rPr>
        <w:t> 000</w:t>
      </w:r>
      <w:r w:rsidRPr="007F0097">
        <w:rPr>
          <w:b/>
          <w:lang w:val="uk-UA"/>
        </w:rPr>
        <w:t xml:space="preserve"> кВт*год.</w:t>
      </w:r>
    </w:p>
    <w:p w:rsidR="00D606B2" w:rsidRDefault="00D606B2" w:rsidP="00D606B2">
      <w:pPr>
        <w:pStyle w:val="a5"/>
        <w:ind w:left="0" w:firstLine="709"/>
        <w:jc w:val="both"/>
        <w:rPr>
          <w:lang w:val="uk-UA"/>
        </w:rPr>
      </w:pPr>
    </w:p>
    <w:p w:rsidR="001353DE" w:rsidRDefault="001353DE" w:rsidP="001353DE">
      <w:pPr>
        <w:pStyle w:val="a5"/>
        <w:ind w:left="-1276" w:firstLine="709"/>
        <w:jc w:val="both"/>
        <w:rPr>
          <w:lang w:val="uk-UA"/>
        </w:rPr>
      </w:pPr>
      <w:r w:rsidRPr="00CA2690">
        <w:rPr>
          <w:b/>
          <w:noProof/>
          <w:lang w:val="uk-UA" w:eastAsia="uk-UA"/>
        </w:rPr>
        <w:drawing>
          <wp:inline distT="0" distB="0" distL="0" distR="0">
            <wp:extent cx="5940425" cy="299669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996698"/>
                    </a:xfrm>
                    <a:prstGeom prst="rect">
                      <a:avLst/>
                    </a:prstGeom>
                    <a:noFill/>
                    <a:ln>
                      <a:noFill/>
                    </a:ln>
                  </pic:spPr>
                </pic:pic>
              </a:graphicData>
            </a:graphic>
          </wp:inline>
        </w:drawing>
      </w:r>
    </w:p>
    <w:p w:rsidR="001353DE" w:rsidRDefault="0009756D" w:rsidP="001353DE">
      <w:pPr>
        <w:pStyle w:val="a5"/>
        <w:ind w:left="-1276" w:firstLine="709"/>
        <w:jc w:val="both"/>
        <w:rPr>
          <w:lang w:val="uk-UA"/>
        </w:rPr>
      </w:pPr>
      <w:r w:rsidRPr="0009756D">
        <w:rPr>
          <w:noProof/>
          <w:lang w:val="uk-UA" w:eastAsia="uk-UA"/>
        </w:rPr>
        <w:drawing>
          <wp:inline distT="0" distB="0" distL="0" distR="0" wp14:anchorId="77FB5574" wp14:editId="0E008C51">
            <wp:extent cx="5820587" cy="121937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0587" cy="1219370"/>
                    </a:xfrm>
                    <a:prstGeom prst="rect">
                      <a:avLst/>
                    </a:prstGeom>
                  </pic:spPr>
                </pic:pic>
              </a:graphicData>
            </a:graphic>
          </wp:inline>
        </w:drawing>
      </w:r>
    </w:p>
    <w:p w:rsidR="00137E49" w:rsidRPr="00137E49" w:rsidRDefault="00137E49" w:rsidP="00137E49">
      <w:pPr>
        <w:pStyle w:val="a7"/>
        <w:ind w:firstLine="709"/>
        <w:jc w:val="both"/>
        <w:rPr>
          <w:rFonts w:ascii="Times New Roman" w:hAnsi="Times New Roman"/>
          <w:sz w:val="24"/>
          <w:szCs w:val="24"/>
        </w:rPr>
      </w:pPr>
      <w:r w:rsidRPr="00137E49">
        <w:rPr>
          <w:rFonts w:ascii="Times New Roman" w:hAnsi="Times New Roman"/>
          <w:sz w:val="24"/>
          <w:szCs w:val="24"/>
        </w:rPr>
        <w:t xml:space="preserve">Відповідно до </w:t>
      </w:r>
      <w:proofErr w:type="spellStart"/>
      <w:r w:rsidRPr="00137E49">
        <w:rPr>
          <w:rFonts w:ascii="Times New Roman" w:hAnsi="Times New Roman"/>
          <w:sz w:val="24"/>
          <w:szCs w:val="24"/>
        </w:rPr>
        <w:t>пп</w:t>
      </w:r>
      <w:proofErr w:type="spellEnd"/>
      <w:r w:rsidRPr="00137E49">
        <w:rPr>
          <w:rFonts w:ascii="Times New Roman" w:hAnsi="Times New Roman"/>
          <w:sz w:val="24"/>
          <w:szCs w:val="24"/>
        </w:rPr>
        <w:t xml:space="preserve">. 2 п. 3. Методичних рекомендацій щодо особливостей здійснення публічних </w:t>
      </w:r>
      <w:proofErr w:type="spellStart"/>
      <w:r w:rsidRPr="00137E49">
        <w:rPr>
          <w:rFonts w:ascii="Times New Roman" w:hAnsi="Times New Roman"/>
          <w:sz w:val="24"/>
          <w:szCs w:val="24"/>
        </w:rPr>
        <w:t>закупівель</w:t>
      </w:r>
      <w:proofErr w:type="spellEnd"/>
      <w:r w:rsidRPr="00137E49">
        <w:rPr>
          <w:rFonts w:ascii="Times New Roman" w:hAnsi="Times New Roman"/>
          <w:sz w:val="24"/>
          <w:szCs w:val="24"/>
        </w:rPr>
        <w:t xml:space="preserve"> у сфері електроенергетики на період дії правового режиму воєнного стану в Україні та протягом 90 днів з дня його припинення або скасування:</w:t>
      </w:r>
    </w:p>
    <w:p w:rsidR="00137E49" w:rsidRPr="00137E49" w:rsidRDefault="00137E49" w:rsidP="00137E49">
      <w:pPr>
        <w:pStyle w:val="a7"/>
        <w:ind w:firstLine="709"/>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ОВ=(</w:t>
      </w: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w:t>
      </w:r>
      <w:proofErr w:type="spellStart"/>
      <w:r w:rsidRPr="00137E49">
        <w:rPr>
          <w:rFonts w:ascii="Times New Roman" w:hAnsi="Times New Roman"/>
          <w:sz w:val="24"/>
          <w:szCs w:val="24"/>
        </w:rPr>
        <w:t>Тпер</w:t>
      </w:r>
      <w:proofErr w:type="spellEnd"/>
      <w:r w:rsidRPr="00137E49">
        <w:rPr>
          <w:rFonts w:ascii="Times New Roman" w:hAnsi="Times New Roman"/>
          <w:sz w:val="24"/>
          <w:szCs w:val="24"/>
        </w:rPr>
        <w:t xml:space="preserve"> + </w:t>
      </w:r>
      <w:r w:rsidRPr="00137E49">
        <w:rPr>
          <w:rFonts w:ascii="Times New Roman" w:hAnsi="Times New Roman"/>
          <w:sz w:val="24"/>
          <w:szCs w:val="24"/>
          <w:lang w:val="en-US"/>
        </w:rPr>
        <w:t>V</w:t>
      </w:r>
      <w:r w:rsidRPr="00137E49">
        <w:rPr>
          <w:rFonts w:ascii="Times New Roman" w:hAnsi="Times New Roman"/>
          <w:sz w:val="24"/>
          <w:szCs w:val="24"/>
        </w:rPr>
        <w:t xml:space="preserve">) х </w:t>
      </w:r>
      <w:r w:rsidRPr="00137E49">
        <w:rPr>
          <w:rFonts w:ascii="Times New Roman" w:hAnsi="Times New Roman"/>
          <w:sz w:val="24"/>
          <w:szCs w:val="24"/>
          <w:lang w:val="en-US"/>
        </w:rPr>
        <w:t>W</w:t>
      </w:r>
      <w:r w:rsidRPr="00137E49">
        <w:rPr>
          <w:rFonts w:ascii="Times New Roman" w:hAnsi="Times New Roman"/>
          <w:sz w:val="24"/>
          <w:szCs w:val="24"/>
        </w:rPr>
        <w:t xml:space="preserve"> х Р, де</w:t>
      </w:r>
    </w:p>
    <w:p w:rsidR="00137E49" w:rsidRPr="00137E49" w:rsidRDefault="00137E49" w:rsidP="00137E49">
      <w:pPr>
        <w:pStyle w:val="a7"/>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ОВ – очікувана вартість закупівлі, грн;</w:t>
      </w:r>
    </w:p>
    <w:p w:rsidR="00137E49" w:rsidRPr="00137E49" w:rsidRDefault="00137E49" w:rsidP="00137E49">
      <w:pPr>
        <w:pStyle w:val="a7"/>
        <w:jc w:val="both"/>
        <w:rPr>
          <w:rFonts w:ascii="Times New Roman" w:hAnsi="Times New Roman"/>
          <w:sz w:val="24"/>
          <w:szCs w:val="24"/>
        </w:rPr>
      </w:pP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 ціна за 1кВт*год РДН листопад 2025, грн, без ПДВ (6,83049 грн);</w:t>
      </w:r>
    </w:p>
    <w:p w:rsidR="00137E49" w:rsidRPr="00137E49" w:rsidRDefault="00137E49" w:rsidP="00137E49">
      <w:pPr>
        <w:pStyle w:val="a7"/>
        <w:jc w:val="both"/>
        <w:rPr>
          <w:rFonts w:ascii="Times New Roman" w:hAnsi="Times New Roman"/>
          <w:sz w:val="24"/>
          <w:szCs w:val="24"/>
        </w:rPr>
      </w:pPr>
      <w:proofErr w:type="spellStart"/>
      <w:r w:rsidRPr="00137E49">
        <w:rPr>
          <w:rFonts w:ascii="Times New Roman" w:hAnsi="Times New Roman"/>
          <w:sz w:val="24"/>
          <w:szCs w:val="24"/>
        </w:rPr>
        <w:t>Тпер</w:t>
      </w:r>
      <w:proofErr w:type="spellEnd"/>
      <w:r w:rsidRPr="00137E49">
        <w:rPr>
          <w:rFonts w:ascii="Times New Roman" w:hAnsi="Times New Roman"/>
          <w:sz w:val="24"/>
          <w:szCs w:val="24"/>
        </w:rPr>
        <w:t xml:space="preserve"> -  тариф на послуги з передачі електричної енергії на 2026 рік (0,78674 грн);</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V</w:t>
      </w:r>
      <w:r w:rsidRPr="00137E49">
        <w:rPr>
          <w:rFonts w:ascii="Times New Roman" w:hAnsi="Times New Roman"/>
          <w:sz w:val="24"/>
          <w:szCs w:val="24"/>
        </w:rPr>
        <w:t xml:space="preserve"> – орієнтовна торгівельна надбавка за 1 кВт*год: </w:t>
      </w: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*10% (0,683049 грн);</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W</w:t>
      </w:r>
      <w:r w:rsidRPr="00137E49">
        <w:rPr>
          <w:rFonts w:ascii="Times New Roman" w:hAnsi="Times New Roman"/>
          <w:sz w:val="24"/>
          <w:szCs w:val="24"/>
        </w:rPr>
        <w:t xml:space="preserve"> – плановий обсяг закупівлі електричної енергії (7 000 000 кВт*год);</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 xml:space="preserve">Р – </w:t>
      </w:r>
      <w:proofErr w:type="spellStart"/>
      <w:r w:rsidRPr="00137E49">
        <w:rPr>
          <w:rFonts w:ascii="Times New Roman" w:hAnsi="Times New Roman"/>
          <w:sz w:val="24"/>
          <w:szCs w:val="24"/>
        </w:rPr>
        <w:t>матиматичне</w:t>
      </w:r>
      <w:proofErr w:type="spellEnd"/>
      <w:r w:rsidRPr="00137E49">
        <w:rPr>
          <w:rFonts w:ascii="Times New Roman" w:hAnsi="Times New Roman"/>
          <w:sz w:val="24"/>
          <w:szCs w:val="24"/>
        </w:rPr>
        <w:t xml:space="preserve"> вираження можливої ставки ПДВ, грн (20% дорівнює 1,2).</w:t>
      </w:r>
    </w:p>
    <w:p w:rsidR="00137E49" w:rsidRPr="00137E49" w:rsidRDefault="00137E49" w:rsidP="00137E49">
      <w:pPr>
        <w:pStyle w:val="a7"/>
        <w:jc w:val="both"/>
        <w:rPr>
          <w:rFonts w:ascii="Times New Roman" w:hAnsi="Times New Roman"/>
          <w:b/>
          <w:sz w:val="24"/>
          <w:szCs w:val="24"/>
        </w:rPr>
      </w:pPr>
      <w:r w:rsidRPr="00137E49">
        <w:rPr>
          <w:rFonts w:ascii="Times New Roman" w:hAnsi="Times New Roman"/>
          <w:b/>
          <w:sz w:val="24"/>
          <w:szCs w:val="24"/>
        </w:rPr>
        <w:t>Очікувана вартість закупівлі дорівнює – 69 722 343,60 грн з ПДВ:</w:t>
      </w:r>
    </w:p>
    <w:p w:rsidR="00137E49" w:rsidRPr="00137E49" w:rsidRDefault="00137E49" w:rsidP="00137E49">
      <w:pPr>
        <w:pStyle w:val="a7"/>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(6,83049+0,78674+0,683049) х 7 000 000 х 1,2 = 69 722 343,60 грн. з ПДВ.</w:t>
      </w:r>
    </w:p>
    <w:p w:rsidR="00137E49" w:rsidRPr="00137E49" w:rsidRDefault="00137E49" w:rsidP="00137E49">
      <w:pPr>
        <w:pStyle w:val="a7"/>
        <w:jc w:val="both"/>
        <w:rPr>
          <w:rFonts w:ascii="Times New Roman" w:hAnsi="Times New Roman"/>
          <w:sz w:val="24"/>
          <w:szCs w:val="24"/>
        </w:rPr>
      </w:pPr>
    </w:p>
    <w:p w:rsidR="00137E49" w:rsidRPr="00137E49" w:rsidRDefault="00137E49" w:rsidP="00137E49">
      <w:pPr>
        <w:pStyle w:val="a7"/>
        <w:jc w:val="both"/>
        <w:rPr>
          <w:rFonts w:ascii="Times New Roman" w:hAnsi="Times New Roman"/>
          <w:b/>
          <w:sz w:val="24"/>
          <w:szCs w:val="24"/>
        </w:rPr>
      </w:pPr>
      <w:r w:rsidRPr="00137E49">
        <w:rPr>
          <w:rFonts w:ascii="Times New Roman" w:hAnsi="Times New Roman"/>
          <w:b/>
          <w:sz w:val="24"/>
          <w:szCs w:val="24"/>
        </w:rPr>
        <w:t>9,9603348 грн за 1 кВт*год з ПДВ.</w:t>
      </w:r>
    </w:p>
    <w:p w:rsidR="001353DE" w:rsidRPr="00137E49" w:rsidRDefault="001353DE" w:rsidP="00137E49">
      <w:pPr>
        <w:pStyle w:val="a5"/>
        <w:ind w:left="0" w:firstLine="709"/>
        <w:jc w:val="both"/>
        <w:rPr>
          <w:lang w:val="uk-UA"/>
        </w:rPr>
      </w:pPr>
    </w:p>
    <w:p w:rsidR="0061330F" w:rsidRPr="007F0097" w:rsidRDefault="0061330F" w:rsidP="0061330F">
      <w:pPr>
        <w:pStyle w:val="a5"/>
        <w:numPr>
          <w:ilvl w:val="0"/>
          <w:numId w:val="3"/>
        </w:numPr>
        <w:rPr>
          <w:b/>
        </w:rPr>
      </w:pPr>
      <w:proofErr w:type="spellStart"/>
      <w:r w:rsidRPr="007F0097">
        <w:rPr>
          <w:b/>
          <w:lang w:val="uk-UA"/>
        </w:rPr>
        <w:t>Обгрунтування</w:t>
      </w:r>
      <w:proofErr w:type="spellEnd"/>
      <w:r w:rsidRPr="007F0097">
        <w:rPr>
          <w:b/>
          <w:lang w:val="uk-UA"/>
        </w:rPr>
        <w:t xml:space="preserve"> технічних та якісних характеристик п</w:t>
      </w:r>
      <w:proofErr w:type="spellStart"/>
      <w:r w:rsidRPr="007F0097">
        <w:rPr>
          <w:b/>
        </w:rPr>
        <w:t>редмета</w:t>
      </w:r>
      <w:proofErr w:type="spellEnd"/>
      <w:r w:rsidRPr="007F0097">
        <w:rPr>
          <w:b/>
        </w:rPr>
        <w:t xml:space="preserve"> </w:t>
      </w:r>
      <w:proofErr w:type="spellStart"/>
      <w:r w:rsidRPr="007F0097">
        <w:rPr>
          <w:b/>
        </w:rPr>
        <w:t>закупівлі</w:t>
      </w:r>
      <w:proofErr w:type="spellEnd"/>
      <w:r w:rsidR="00C74FC2" w:rsidRPr="007F0097">
        <w:rPr>
          <w:b/>
          <w:lang w:val="uk-UA"/>
        </w:rPr>
        <w:t>:</w:t>
      </w:r>
    </w:p>
    <w:p w:rsidR="007F0097" w:rsidRPr="007F0097" w:rsidRDefault="00FE5DDC" w:rsidP="00FE5DDC">
      <w:pPr>
        <w:pStyle w:val="a5"/>
        <w:ind w:left="928"/>
        <w:rPr>
          <w:b/>
          <w:bCs/>
          <w:color w:val="000000"/>
        </w:rPr>
      </w:pPr>
      <w:r w:rsidRPr="007F0097">
        <w:rPr>
          <w:bCs/>
          <w:color w:val="000000"/>
        </w:rPr>
        <w:t xml:space="preserve"> </w:t>
      </w:r>
    </w:p>
    <w:tbl>
      <w:tblPr>
        <w:tblW w:w="9684" w:type="dxa"/>
        <w:tblInd w:w="-49" w:type="dxa"/>
        <w:tblLayout w:type="fixed"/>
        <w:tblCellMar>
          <w:left w:w="10" w:type="dxa"/>
          <w:right w:w="10" w:type="dxa"/>
        </w:tblCellMar>
        <w:tblLook w:val="04A0" w:firstRow="1" w:lastRow="0" w:firstColumn="1" w:lastColumn="0" w:noHBand="0" w:noVBand="1"/>
      </w:tblPr>
      <w:tblGrid>
        <w:gridCol w:w="709"/>
        <w:gridCol w:w="2835"/>
        <w:gridCol w:w="3588"/>
        <w:gridCol w:w="2552"/>
      </w:tblGrid>
      <w:tr w:rsidR="007F0097" w:rsidRPr="007F0097" w:rsidTr="002473AF">
        <w:trPr>
          <w:trHeight w:val="335"/>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 з/п</w:t>
            </w:r>
          </w:p>
        </w:tc>
        <w:tc>
          <w:tcPr>
            <w:tcW w:w="2835"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Найменування товару</w:t>
            </w:r>
          </w:p>
        </w:tc>
        <w:tc>
          <w:tcPr>
            <w:tcW w:w="3588"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Період поставки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Кількість, кВт*год</w:t>
            </w:r>
          </w:p>
        </w:tc>
      </w:tr>
      <w:tr w:rsidR="007F0097" w:rsidRPr="007F0097" w:rsidTr="002473AF">
        <w:trPr>
          <w:trHeight w:val="242"/>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7F0097" w:rsidRP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1</w:t>
            </w:r>
          </w:p>
        </w:tc>
        <w:tc>
          <w:tcPr>
            <w:tcW w:w="2835"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7F0097" w:rsidRP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Електрична енергія</w:t>
            </w:r>
          </w:p>
        </w:tc>
        <w:tc>
          <w:tcPr>
            <w:tcW w:w="3588"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7F0097" w:rsidRPr="007F0097" w:rsidRDefault="007B031E" w:rsidP="007B031E">
            <w:pPr>
              <w:pStyle w:val="Standard"/>
              <w:suppressAutoHyphens w:val="0"/>
              <w:jc w:val="center"/>
              <w:rPr>
                <w:rFonts w:ascii="Times New Roman" w:hAnsi="Times New Roman" w:cs="Times New Roman"/>
                <w:lang w:val="uk-UA"/>
              </w:rPr>
            </w:pPr>
            <w:r>
              <w:rPr>
                <w:rFonts w:ascii="Times New Roman" w:hAnsi="Times New Roman" w:cs="Times New Roman"/>
                <w:lang w:val="uk-UA"/>
              </w:rPr>
              <w:t>з 01.01.2026</w:t>
            </w:r>
            <w:r w:rsidR="007F0097" w:rsidRPr="007F0097">
              <w:rPr>
                <w:rFonts w:ascii="Times New Roman" w:hAnsi="Times New Roman" w:cs="Times New Roman"/>
                <w:lang w:val="uk-UA"/>
              </w:rPr>
              <w:t xml:space="preserve"> – 31.12.202</w:t>
            </w:r>
            <w:r>
              <w:rPr>
                <w:rFonts w:ascii="Times New Roman" w:hAnsi="Times New Roman" w:cs="Times New Roman"/>
                <w:lang w:val="uk-UA"/>
              </w:rPr>
              <w:t>6</w:t>
            </w:r>
            <w:r w:rsidR="007F0097" w:rsidRPr="007F0097">
              <w:rPr>
                <w:rFonts w:ascii="Times New Roman" w:hAnsi="Times New Roman" w:cs="Times New Roman"/>
                <w:lang w:val="uk-UA"/>
              </w:rPr>
              <w:t>р.</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8C37AE" w:rsidP="008C37AE">
            <w:pPr>
              <w:pStyle w:val="Standard"/>
              <w:suppressAutoHyphens w:val="0"/>
              <w:jc w:val="center"/>
              <w:rPr>
                <w:rFonts w:ascii="Times New Roman" w:hAnsi="Times New Roman" w:cs="Times New Roman"/>
                <w:lang w:val="uk-UA"/>
              </w:rPr>
            </w:pPr>
            <w:r>
              <w:rPr>
                <w:rFonts w:ascii="Times New Roman" w:hAnsi="Times New Roman" w:cs="Times New Roman"/>
                <w:lang w:val="uk-UA"/>
              </w:rPr>
              <w:t>7</w:t>
            </w:r>
            <w:r w:rsidR="00CC0C4D">
              <w:rPr>
                <w:rFonts w:ascii="Times New Roman" w:hAnsi="Times New Roman" w:cs="Times New Roman"/>
                <w:lang w:val="uk-UA"/>
              </w:rPr>
              <w:t> </w:t>
            </w:r>
            <w:r>
              <w:rPr>
                <w:rFonts w:ascii="Times New Roman" w:hAnsi="Times New Roman" w:cs="Times New Roman"/>
                <w:lang w:val="uk-UA"/>
              </w:rPr>
              <w:t>0</w:t>
            </w:r>
            <w:r w:rsidR="00CC0C4D">
              <w:rPr>
                <w:rFonts w:ascii="Times New Roman" w:hAnsi="Times New Roman" w:cs="Times New Roman"/>
                <w:lang w:val="uk-UA"/>
              </w:rPr>
              <w:t>00 000</w:t>
            </w:r>
          </w:p>
        </w:tc>
      </w:tr>
    </w:tbl>
    <w:p w:rsidR="007F0097" w:rsidRPr="007F0097" w:rsidRDefault="007F0097" w:rsidP="007F0097">
      <w:pPr>
        <w:jc w:val="center"/>
        <w:textAlignment w:val="baseline"/>
        <w:rPr>
          <w:rFonts w:ascii="Times New Roman" w:hAnsi="Times New Roman" w:cs="Times New Roman"/>
          <w:b/>
          <w:bCs/>
          <w:caps/>
          <w:color w:val="000000"/>
          <w:sz w:val="24"/>
          <w:szCs w:val="24"/>
        </w:rPr>
      </w:pPr>
    </w:p>
    <w:p w:rsidR="007F0097" w:rsidRPr="007F0097" w:rsidRDefault="007F0097" w:rsidP="007F0097">
      <w:pPr>
        <w:ind w:right="-283"/>
        <w:jc w:val="center"/>
        <w:textAlignment w:val="baseline"/>
        <w:rPr>
          <w:rFonts w:ascii="Times New Roman" w:hAnsi="Times New Roman" w:cs="Times New Roman"/>
          <w:b/>
          <w:bCs/>
          <w:caps/>
          <w:color w:val="000000"/>
          <w:sz w:val="24"/>
          <w:szCs w:val="24"/>
        </w:rPr>
      </w:pPr>
      <w:r w:rsidRPr="007F0097">
        <w:rPr>
          <w:rFonts w:ascii="Times New Roman" w:hAnsi="Times New Roman" w:cs="Times New Roman"/>
          <w:b/>
          <w:bCs/>
          <w:caps/>
          <w:color w:val="000000"/>
          <w:sz w:val="24"/>
          <w:szCs w:val="24"/>
        </w:rPr>
        <w:t>вимоги до предмета закупівлі:</w:t>
      </w:r>
    </w:p>
    <w:p w:rsidR="007F0097" w:rsidRPr="007F0097" w:rsidRDefault="007F0097" w:rsidP="007F0097">
      <w:pPr>
        <w:spacing w:before="120"/>
        <w:ind w:left="-142" w:right="-283" w:firstLine="568"/>
        <w:jc w:val="both"/>
        <w:rPr>
          <w:rFonts w:ascii="Times New Roman" w:hAnsi="Times New Roman" w:cs="Times New Roman"/>
          <w:color w:val="000000"/>
          <w:sz w:val="24"/>
          <w:szCs w:val="24"/>
        </w:rPr>
      </w:pPr>
      <w:r w:rsidRPr="007F0097">
        <w:rPr>
          <w:rFonts w:ascii="Times New Roman" w:hAnsi="Times New Roman" w:cs="Times New Roman"/>
          <w:color w:val="000000"/>
          <w:sz w:val="24"/>
          <w:szCs w:val="24"/>
        </w:rPr>
        <w:t>Технічні, якісні характеристики електричної енергії (далі – товар) повинні відповідати встановленим/зареєстрованим діючим нормативним актам чинного законодавства України (державним стандартам (технічним умовам)).</w:t>
      </w:r>
    </w:p>
    <w:p w:rsidR="007F0097" w:rsidRPr="007F0097" w:rsidRDefault="007F0097" w:rsidP="007F0097">
      <w:pPr>
        <w:spacing w:before="120"/>
        <w:ind w:left="-142" w:right="-283" w:firstLine="568"/>
        <w:jc w:val="both"/>
        <w:rPr>
          <w:rFonts w:ascii="Times New Roman" w:hAnsi="Times New Roman" w:cs="Times New Roman"/>
          <w:noProof/>
          <w:sz w:val="24"/>
          <w:szCs w:val="24"/>
        </w:rPr>
      </w:pPr>
      <w:r w:rsidRPr="007F0097">
        <w:rPr>
          <w:rFonts w:ascii="Times New Roman" w:hAnsi="Times New Roman" w:cs="Times New Roman"/>
          <w:color w:val="000000"/>
          <w:sz w:val="24"/>
          <w:szCs w:val="24"/>
        </w:rPr>
        <w:t xml:space="preserve">Товар повинен відповідати технічним вимогам до предмета закупівлі, що визначені наступними нормативно-правовими актами: Закон України «Про публічні закупівлі» від 19.09.2019 р. № 114-IX; Закон України «Про ринок електричної енергії» від 13.04.2017 № 2019-VIII, Постанова Національної комісії, що здійснює державне регулювання у сферах енергетики та комунальних послуг (НКРЕКП) від 14.03.2018 №312 «Про затвердження Правил роздрібного ринку електричної енергії», Порядок забезпечення стандартів якості електропостачання та надання компенсацій споживачам за їх недотримання, затверджений постановою НКРЕКП від 12.06.2018 р. № 375, Кодекс комерційного обліку електричної енергії, Кодекс системи розподілу, Кодекс системи передачі, 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w:t>
      </w:r>
      <w:r w:rsidRPr="007F0097">
        <w:rPr>
          <w:rFonts w:ascii="Times New Roman" w:hAnsi="Times New Roman" w:cs="Times New Roman"/>
          <w:noProof/>
          <w:color w:val="000000"/>
          <w:sz w:val="24"/>
          <w:szCs w:val="24"/>
        </w:rPr>
        <w:t>електричної енергії».</w:t>
      </w:r>
    </w:p>
    <w:p w:rsidR="007F0097" w:rsidRPr="007F0097" w:rsidRDefault="007F0097" w:rsidP="007F0097">
      <w:pPr>
        <w:spacing w:before="60"/>
        <w:ind w:left="-142" w:right="-283" w:firstLine="568"/>
        <w:jc w:val="both"/>
        <w:rPr>
          <w:rFonts w:ascii="Times New Roman" w:hAnsi="Times New Roman" w:cs="Times New Roman"/>
          <w:noProof/>
          <w:sz w:val="24"/>
          <w:szCs w:val="24"/>
        </w:rPr>
      </w:pPr>
      <w:r w:rsidRPr="007F0097">
        <w:rPr>
          <w:rFonts w:ascii="Times New Roman" w:hAnsi="Times New Roman" w:cs="Times New Roman"/>
          <w:noProof/>
          <w:color w:val="000000"/>
          <w:sz w:val="24"/>
          <w:szCs w:val="24"/>
        </w:rPr>
        <w:t>Оцінка відповідності показників якості електричної енергії проводиться на проміжку розрахункового періоду рівного 24 годинам.</w:t>
      </w:r>
    </w:p>
    <w:p w:rsidR="007F0097" w:rsidRPr="007F0097" w:rsidRDefault="007F0097" w:rsidP="007F0097">
      <w:pPr>
        <w:spacing w:before="60"/>
        <w:ind w:left="-142" w:right="-283" w:firstLine="568"/>
        <w:jc w:val="both"/>
        <w:rPr>
          <w:rFonts w:ascii="Times New Roman" w:hAnsi="Times New Roman" w:cs="Times New Roman"/>
          <w:bCs/>
          <w:noProof/>
          <w:color w:val="000000"/>
          <w:sz w:val="24"/>
          <w:szCs w:val="24"/>
        </w:rPr>
      </w:pPr>
      <w:r w:rsidRPr="007F0097">
        <w:rPr>
          <w:rFonts w:ascii="Times New Roman" w:hAnsi="Times New Roman" w:cs="Times New Roman"/>
          <w:bCs/>
          <w:noProof/>
          <w:color w:val="000000"/>
          <w:sz w:val="24"/>
          <w:szCs w:val="24"/>
        </w:rPr>
        <w:t>Вартість електричної енергії визначена без урахування вартості послуг на розподіл та компенсації перетікань реактивної електроенергії. Оплата оператору систем розподілу – здійснюється Споживачем самостійно по відповідному договору з оператором системи розподілу.</w:t>
      </w:r>
    </w:p>
    <w:p w:rsidR="007F0097" w:rsidRPr="007F0097" w:rsidRDefault="007F0097" w:rsidP="007F0097">
      <w:pPr>
        <w:spacing w:before="60"/>
        <w:ind w:left="-142" w:right="-283" w:firstLine="568"/>
        <w:jc w:val="both"/>
        <w:rPr>
          <w:rFonts w:ascii="Times New Roman" w:hAnsi="Times New Roman" w:cs="Times New Roman"/>
          <w:noProof/>
          <w:color w:val="000000"/>
          <w:sz w:val="24"/>
          <w:szCs w:val="24"/>
        </w:rPr>
      </w:pPr>
      <w:r w:rsidRPr="007F0097">
        <w:rPr>
          <w:rFonts w:ascii="Times New Roman" w:hAnsi="Times New Roman" w:cs="Times New Roman"/>
          <w:noProof/>
          <w:color w:val="000000"/>
          <w:sz w:val="24"/>
          <w:szCs w:val="24"/>
        </w:rPr>
        <w:t xml:space="preserve">Постачання електричної енергії споживачам здійснюється електропостачальниками, які отримали відповідну ліцензію на право провадження господарської діяльності з постачання електроенергії споживачу. </w:t>
      </w:r>
    </w:p>
    <w:p w:rsidR="007F0097" w:rsidRPr="007F0097" w:rsidRDefault="007F0097" w:rsidP="007F0097">
      <w:pPr>
        <w:spacing w:before="60"/>
        <w:ind w:left="-142" w:right="-283" w:firstLine="568"/>
        <w:jc w:val="both"/>
        <w:rPr>
          <w:rFonts w:ascii="Times New Roman" w:hAnsi="Times New Roman" w:cs="Times New Roman"/>
          <w:noProof/>
          <w:color w:val="000000"/>
          <w:sz w:val="24"/>
          <w:szCs w:val="24"/>
        </w:rPr>
      </w:pPr>
      <w:r w:rsidRPr="007F0097">
        <w:rPr>
          <w:rFonts w:ascii="Times New Roman" w:eastAsia="Times New Roman" w:hAnsi="Times New Roman" w:cs="Times New Roman"/>
          <w:noProof/>
          <w:color w:val="000000"/>
          <w:sz w:val="24"/>
          <w:szCs w:val="24"/>
        </w:rPr>
        <w:t>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7F0097" w:rsidRPr="007F0097" w:rsidRDefault="007F0097" w:rsidP="00872B91">
      <w:pPr>
        <w:tabs>
          <w:tab w:val="left" w:pos="142"/>
          <w:tab w:val="left" w:pos="6330"/>
        </w:tabs>
        <w:spacing w:after="0"/>
        <w:ind w:firstLine="709"/>
        <w:jc w:val="both"/>
        <w:rPr>
          <w:rFonts w:ascii="Times New Roman" w:hAnsi="Times New Roman" w:cs="Times New Roman"/>
          <w:noProof/>
          <w:sz w:val="24"/>
          <w:szCs w:val="24"/>
        </w:rPr>
      </w:pPr>
      <w:r w:rsidRPr="007F0097">
        <w:rPr>
          <w:rFonts w:ascii="Times New Roman" w:hAnsi="Times New Roman" w:cs="Times New Roman"/>
          <w:noProof/>
          <w:sz w:val="24"/>
          <w:szCs w:val="24"/>
        </w:rPr>
        <w:t xml:space="preserve">Місце поставки електричної енергії для об’єктів ГУНП в Дніпропетровській області, які розташовані на території </w:t>
      </w:r>
      <w:r w:rsidRPr="007F0097">
        <w:rPr>
          <w:rFonts w:ascii="Times New Roman" w:hAnsi="Times New Roman" w:cs="Times New Roman"/>
          <w:b/>
          <w:noProof/>
          <w:sz w:val="24"/>
          <w:szCs w:val="24"/>
        </w:rPr>
        <w:t>м. Дніпро та Дніпропетровської області</w:t>
      </w:r>
      <w:r w:rsidRPr="007F0097">
        <w:rPr>
          <w:rFonts w:ascii="Times New Roman" w:hAnsi="Times New Roman" w:cs="Times New Roman"/>
          <w:noProof/>
          <w:sz w:val="24"/>
          <w:szCs w:val="24"/>
        </w:rPr>
        <w:t>:</w:t>
      </w:r>
    </w:p>
    <w:p w:rsidR="007F0097" w:rsidRPr="007F0097" w:rsidRDefault="007F0097" w:rsidP="00872B91">
      <w:pPr>
        <w:spacing w:after="0"/>
        <w:rPr>
          <w:rStyle w:val="2Exact"/>
          <w:rFonts w:eastAsia="Calibri"/>
          <w:noProof/>
          <w:sz w:val="24"/>
          <w:szCs w:val="24"/>
          <w:u w:val="single"/>
        </w:rPr>
      </w:pPr>
      <w:r w:rsidRPr="007F0097">
        <w:rPr>
          <w:rStyle w:val="2Exact"/>
          <w:rFonts w:eastAsia="Calibri"/>
          <w:noProof/>
          <w:sz w:val="24"/>
          <w:szCs w:val="24"/>
          <w:u w:val="single"/>
        </w:rPr>
        <w:t xml:space="preserve">м. Дніпро </w:t>
      </w:r>
    </w:p>
    <w:p w:rsidR="007F0097" w:rsidRPr="007F0097" w:rsidRDefault="007F0097" w:rsidP="00872B91">
      <w:pPr>
        <w:spacing w:after="0"/>
        <w:rPr>
          <w:rFonts w:ascii="Times New Roman" w:hAnsi="Times New Roman" w:cs="Times New Roman"/>
          <w:noProof/>
          <w:sz w:val="24"/>
          <w:szCs w:val="24"/>
          <w:u w:val="single"/>
        </w:rPr>
      </w:pPr>
      <w:r w:rsidRPr="007F0097">
        <w:rPr>
          <w:rFonts w:ascii="Times New Roman" w:hAnsi="Times New Roman" w:cs="Times New Roman"/>
          <w:noProof/>
          <w:sz w:val="24"/>
          <w:szCs w:val="24"/>
          <w:u w:val="single"/>
        </w:rPr>
        <w:t>Дніпропетровська область:</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Васильківка;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П’ятихатки;</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Вільногірськ;</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lastRenderedPageBreak/>
        <w:t>смт. Софіївка;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Верхньодніпровськ;</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Верхівцеве;</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Нікополь;</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Томаківка;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Широке;</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Магдалинівка;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Петриківка;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Царичанка;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Павлоград;</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Синельниково;</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Покровське;</w:t>
      </w:r>
    </w:p>
    <w:p w:rsidR="007F0097" w:rsidRPr="007F0097" w:rsidRDefault="007F0097" w:rsidP="00872B91">
      <w:pPr>
        <w:spacing w:after="0"/>
        <w:rPr>
          <w:rFonts w:ascii="Times New Roman" w:hAnsi="Times New Roman" w:cs="Times New Roman"/>
          <w:noProof/>
          <w:sz w:val="24"/>
          <w:szCs w:val="24"/>
        </w:rPr>
      </w:pPr>
      <w:r w:rsidRPr="007F0097">
        <w:rPr>
          <w:rFonts w:ascii="Times New Roman" w:hAnsi="Times New Roman" w:cs="Times New Roman"/>
          <w:noProof/>
          <w:sz w:val="24"/>
          <w:szCs w:val="24"/>
        </w:rPr>
        <w:t>м. Кам'янське;</w:t>
      </w:r>
    </w:p>
    <w:p w:rsidR="007F0097" w:rsidRPr="007F0097" w:rsidRDefault="007F0097" w:rsidP="00872B91">
      <w:pPr>
        <w:spacing w:after="0"/>
        <w:rPr>
          <w:rFonts w:ascii="Times New Roman" w:hAnsi="Times New Roman" w:cs="Times New Roman"/>
          <w:noProof/>
          <w:sz w:val="24"/>
          <w:szCs w:val="24"/>
        </w:rPr>
      </w:pPr>
      <w:r w:rsidRPr="007F0097">
        <w:rPr>
          <w:rFonts w:ascii="Times New Roman" w:hAnsi="Times New Roman" w:cs="Times New Roman"/>
          <w:noProof/>
          <w:sz w:val="24"/>
          <w:szCs w:val="24"/>
        </w:rPr>
        <w:t>смт Слобожанське;</w:t>
      </w:r>
    </w:p>
    <w:p w:rsidR="007F0097" w:rsidRPr="007F0097" w:rsidRDefault="007F0097" w:rsidP="00872B91">
      <w:pPr>
        <w:spacing w:after="0"/>
        <w:rPr>
          <w:rFonts w:ascii="Times New Roman" w:hAnsi="Times New Roman" w:cs="Times New Roman"/>
          <w:noProof/>
          <w:sz w:val="24"/>
          <w:szCs w:val="24"/>
        </w:rPr>
      </w:pPr>
      <w:r w:rsidRPr="007F0097">
        <w:rPr>
          <w:rFonts w:ascii="Times New Roman" w:hAnsi="Times New Roman" w:cs="Times New Roman"/>
          <w:noProof/>
          <w:sz w:val="24"/>
          <w:szCs w:val="24"/>
        </w:rPr>
        <w:t>м. Кривий Ріг;</w:t>
      </w:r>
    </w:p>
    <w:p w:rsidR="007F0097" w:rsidRPr="007F0097" w:rsidRDefault="007F0097" w:rsidP="00872B91">
      <w:pPr>
        <w:spacing w:after="0"/>
        <w:rPr>
          <w:rFonts w:ascii="Times New Roman" w:hAnsi="Times New Roman" w:cs="Times New Roman"/>
          <w:noProof/>
          <w:sz w:val="24"/>
          <w:szCs w:val="24"/>
        </w:rPr>
      </w:pPr>
      <w:r w:rsidRPr="007F0097">
        <w:rPr>
          <w:rFonts w:ascii="Times New Roman" w:hAnsi="Times New Roman" w:cs="Times New Roman"/>
          <w:noProof/>
          <w:sz w:val="24"/>
          <w:szCs w:val="24"/>
        </w:rPr>
        <w:t>смт Кринички;</w:t>
      </w:r>
    </w:p>
    <w:p w:rsidR="007F0097" w:rsidRPr="007F0097" w:rsidRDefault="007F0097" w:rsidP="00872B91">
      <w:pPr>
        <w:spacing w:after="0"/>
        <w:rPr>
          <w:rFonts w:ascii="Times New Roman" w:hAnsi="Times New Roman" w:cs="Times New Roman"/>
          <w:noProof/>
          <w:sz w:val="24"/>
          <w:szCs w:val="24"/>
        </w:rPr>
      </w:pPr>
      <w:r w:rsidRPr="007F0097">
        <w:rPr>
          <w:rFonts w:ascii="Times New Roman" w:hAnsi="Times New Roman" w:cs="Times New Roman"/>
          <w:noProof/>
          <w:sz w:val="24"/>
          <w:szCs w:val="24"/>
        </w:rPr>
        <w:t>м. Зеленодольськ;</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Межова;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Покров;</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Марганець;</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Новомосковськ;</w:t>
      </w:r>
    </w:p>
    <w:p w:rsidR="007F0097" w:rsidRPr="007F0097" w:rsidRDefault="007F0097" w:rsidP="00872B91">
      <w:pPr>
        <w:tabs>
          <w:tab w:val="left" w:pos="5472"/>
        </w:tabs>
        <w:spacing w:after="0"/>
        <w:rPr>
          <w:rFonts w:ascii="Times New Roman" w:hAnsi="Times New Roman" w:cs="Times New Roman"/>
          <w:noProof/>
          <w:sz w:val="24"/>
          <w:szCs w:val="24"/>
        </w:rPr>
      </w:pPr>
      <w:r w:rsidRPr="007F0097">
        <w:rPr>
          <w:rFonts w:ascii="Times New Roman" w:hAnsi="Times New Roman" w:cs="Times New Roman"/>
          <w:noProof/>
          <w:sz w:val="24"/>
          <w:szCs w:val="24"/>
        </w:rPr>
        <w:t>с. Орловщина;</w:t>
      </w:r>
    </w:p>
    <w:p w:rsidR="007F0097" w:rsidRPr="007F0097" w:rsidRDefault="007F0097" w:rsidP="00872B91">
      <w:pPr>
        <w:tabs>
          <w:tab w:val="left" w:pos="5472"/>
        </w:tabs>
        <w:spacing w:after="0"/>
        <w:rPr>
          <w:rFonts w:ascii="Times New Roman" w:hAnsi="Times New Roman" w:cs="Times New Roman"/>
          <w:noProof/>
          <w:sz w:val="24"/>
          <w:szCs w:val="24"/>
        </w:rPr>
      </w:pPr>
      <w:r w:rsidRPr="007F0097">
        <w:rPr>
          <w:rFonts w:ascii="Times New Roman" w:hAnsi="Times New Roman" w:cs="Times New Roman"/>
          <w:noProof/>
          <w:sz w:val="24"/>
          <w:szCs w:val="24"/>
        </w:rPr>
        <w:t>м. Жовті Води;</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Тернівка;</w:t>
      </w:r>
    </w:p>
    <w:p w:rsidR="007F0097" w:rsidRPr="007F0097" w:rsidRDefault="007F0097" w:rsidP="00872B91">
      <w:pPr>
        <w:tabs>
          <w:tab w:val="left" w:pos="5472"/>
        </w:tabs>
        <w:spacing w:after="0"/>
        <w:rPr>
          <w:rFonts w:ascii="Times New Roman" w:hAnsi="Times New Roman" w:cs="Times New Roman"/>
          <w:noProof/>
          <w:sz w:val="24"/>
          <w:szCs w:val="24"/>
        </w:rPr>
      </w:pPr>
      <w:r w:rsidRPr="007F0097">
        <w:rPr>
          <w:rFonts w:ascii="Times New Roman" w:hAnsi="Times New Roman" w:cs="Times New Roman"/>
          <w:noProof/>
          <w:sz w:val="24"/>
          <w:szCs w:val="24"/>
        </w:rPr>
        <w:t>смт Петропавлівка;</w:t>
      </w:r>
    </w:p>
    <w:p w:rsidR="007F0097" w:rsidRPr="007F0097" w:rsidRDefault="007F0097" w:rsidP="00872B91">
      <w:pPr>
        <w:tabs>
          <w:tab w:val="left" w:pos="5472"/>
        </w:tabs>
        <w:spacing w:after="0"/>
        <w:rPr>
          <w:rFonts w:ascii="Times New Roman" w:hAnsi="Times New Roman" w:cs="Times New Roman"/>
          <w:noProof/>
          <w:sz w:val="24"/>
          <w:szCs w:val="24"/>
        </w:rPr>
      </w:pPr>
      <w:r w:rsidRPr="007F0097">
        <w:rPr>
          <w:rFonts w:ascii="Times New Roman" w:hAnsi="Times New Roman" w:cs="Times New Roman"/>
          <w:noProof/>
          <w:sz w:val="24"/>
          <w:szCs w:val="24"/>
        </w:rPr>
        <w:t>с. Миколаївка;</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м. Першотравенськ;</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смт Покровське;</w:t>
      </w:r>
    </w:p>
    <w:p w:rsidR="007F0097" w:rsidRPr="007F0097" w:rsidRDefault="007F0097" w:rsidP="00872B91">
      <w:pPr>
        <w:tabs>
          <w:tab w:val="left" w:pos="5472"/>
        </w:tabs>
        <w:spacing w:after="0"/>
        <w:rPr>
          <w:rFonts w:ascii="Times New Roman" w:hAnsi="Times New Roman" w:cs="Times New Roman"/>
          <w:noProof/>
          <w:sz w:val="24"/>
          <w:szCs w:val="24"/>
        </w:rPr>
      </w:pPr>
      <w:r w:rsidRPr="007F0097">
        <w:rPr>
          <w:rFonts w:ascii="Times New Roman" w:hAnsi="Times New Roman" w:cs="Times New Roman"/>
          <w:noProof/>
          <w:sz w:val="24"/>
          <w:szCs w:val="24"/>
        </w:rPr>
        <w:t>смт Солоне;</w:t>
      </w:r>
    </w:p>
    <w:p w:rsidR="007F0097" w:rsidRPr="007F0097" w:rsidRDefault="007F0097" w:rsidP="00872B91">
      <w:pPr>
        <w:spacing w:after="0"/>
        <w:jc w:val="both"/>
        <w:rPr>
          <w:rFonts w:ascii="Times New Roman" w:hAnsi="Times New Roman" w:cs="Times New Roman"/>
          <w:noProof/>
          <w:sz w:val="24"/>
          <w:szCs w:val="24"/>
        </w:rPr>
      </w:pPr>
      <w:r w:rsidRPr="007F0097">
        <w:rPr>
          <w:rFonts w:ascii="Times New Roman" w:hAnsi="Times New Roman" w:cs="Times New Roman"/>
          <w:noProof/>
          <w:sz w:val="24"/>
          <w:szCs w:val="24"/>
        </w:rPr>
        <w:t>с. Червонокам'яне.</w:t>
      </w:r>
    </w:p>
    <w:p w:rsidR="007F0097" w:rsidRPr="007F0097" w:rsidRDefault="007F0097" w:rsidP="00872B91">
      <w:pPr>
        <w:spacing w:after="0"/>
        <w:ind w:firstLine="709"/>
        <w:jc w:val="both"/>
        <w:rPr>
          <w:rFonts w:ascii="Times New Roman" w:hAnsi="Times New Roman" w:cs="Times New Roman"/>
          <w:bCs/>
          <w:noProof/>
          <w:color w:val="000000"/>
          <w:sz w:val="24"/>
          <w:szCs w:val="24"/>
        </w:rPr>
      </w:pPr>
    </w:p>
    <w:sectPr w:rsidR="007F0097" w:rsidRPr="007F009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5100B"/>
    <w:rsid w:val="0005550E"/>
    <w:rsid w:val="00076EBB"/>
    <w:rsid w:val="0009756D"/>
    <w:rsid w:val="000B32B5"/>
    <w:rsid w:val="001323C5"/>
    <w:rsid w:val="001353DE"/>
    <w:rsid w:val="00137E49"/>
    <w:rsid w:val="001464EA"/>
    <w:rsid w:val="001719F9"/>
    <w:rsid w:val="002473AF"/>
    <w:rsid w:val="00284AC9"/>
    <w:rsid w:val="002973BA"/>
    <w:rsid w:val="00301AED"/>
    <w:rsid w:val="003177EF"/>
    <w:rsid w:val="00323772"/>
    <w:rsid w:val="003353A5"/>
    <w:rsid w:val="00356C06"/>
    <w:rsid w:val="003D1F64"/>
    <w:rsid w:val="003F2FDE"/>
    <w:rsid w:val="004019E1"/>
    <w:rsid w:val="00416E6C"/>
    <w:rsid w:val="00435B55"/>
    <w:rsid w:val="00443595"/>
    <w:rsid w:val="004571DF"/>
    <w:rsid w:val="004A10A6"/>
    <w:rsid w:val="004B7A9A"/>
    <w:rsid w:val="004C584C"/>
    <w:rsid w:val="004E4ECE"/>
    <w:rsid w:val="004F34E7"/>
    <w:rsid w:val="00510637"/>
    <w:rsid w:val="00525223"/>
    <w:rsid w:val="00542754"/>
    <w:rsid w:val="00596C20"/>
    <w:rsid w:val="005B567A"/>
    <w:rsid w:val="005D4DDD"/>
    <w:rsid w:val="00612756"/>
    <w:rsid w:val="0061330F"/>
    <w:rsid w:val="006414CD"/>
    <w:rsid w:val="00663A03"/>
    <w:rsid w:val="006E602C"/>
    <w:rsid w:val="00713B65"/>
    <w:rsid w:val="00716F39"/>
    <w:rsid w:val="007B031E"/>
    <w:rsid w:val="007C0753"/>
    <w:rsid w:val="007E3C20"/>
    <w:rsid w:val="007F0097"/>
    <w:rsid w:val="007F5A9B"/>
    <w:rsid w:val="007F61AF"/>
    <w:rsid w:val="00872B91"/>
    <w:rsid w:val="00896C61"/>
    <w:rsid w:val="008C37AE"/>
    <w:rsid w:val="008E185F"/>
    <w:rsid w:val="00954F26"/>
    <w:rsid w:val="00997611"/>
    <w:rsid w:val="009E2D90"/>
    <w:rsid w:val="00A0018F"/>
    <w:rsid w:val="00A06EEF"/>
    <w:rsid w:val="00A16E62"/>
    <w:rsid w:val="00A30BC0"/>
    <w:rsid w:val="00AD1C24"/>
    <w:rsid w:val="00B87060"/>
    <w:rsid w:val="00BA4EE9"/>
    <w:rsid w:val="00BC58D8"/>
    <w:rsid w:val="00BD0B35"/>
    <w:rsid w:val="00C153D7"/>
    <w:rsid w:val="00C20BCD"/>
    <w:rsid w:val="00C4496A"/>
    <w:rsid w:val="00C74FC2"/>
    <w:rsid w:val="00CC0C4D"/>
    <w:rsid w:val="00CC0D2F"/>
    <w:rsid w:val="00D30677"/>
    <w:rsid w:val="00D3279A"/>
    <w:rsid w:val="00D606B2"/>
    <w:rsid w:val="00D71C48"/>
    <w:rsid w:val="00D77574"/>
    <w:rsid w:val="00D83908"/>
    <w:rsid w:val="00DB66A8"/>
    <w:rsid w:val="00E765BA"/>
    <w:rsid w:val="00E91964"/>
    <w:rsid w:val="00EA468D"/>
    <w:rsid w:val="00EC4892"/>
    <w:rsid w:val="00EE00F9"/>
    <w:rsid w:val="00EE445F"/>
    <w:rsid w:val="00F4496A"/>
    <w:rsid w:val="00FC00B5"/>
    <w:rsid w:val="00FC0C82"/>
    <w:rsid w:val="00FE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9677"/>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msonormalcxspmiddle">
    <w:name w:val="msonormalcxspmiddle"/>
    <w:basedOn w:val="a"/>
    <w:rsid w:val="00FE5DD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Standard">
    <w:name w:val="Standard"/>
    <w:rsid w:val="007F009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2Exact">
    <w:name w:val="Основной текст (2) Exact"/>
    <w:rsid w:val="007F0097"/>
    <w:rPr>
      <w:rFonts w:ascii="Times New Roman" w:eastAsia="Times New Roman" w:hAnsi="Times New Roman" w:cs="Times New Roman"/>
      <w:b w:val="0"/>
      <w:bCs w:val="0"/>
      <w:i w:val="0"/>
      <w:iCs w:val="0"/>
      <w:smallCaps w:val="0"/>
      <w:strike w:val="0"/>
      <w:u w:val="none"/>
    </w:rPr>
  </w:style>
  <w:style w:type="character" w:customStyle="1" w:styleId="rvts0">
    <w:name w:val="rvts0"/>
    <w:rsid w:val="007F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2881</Words>
  <Characters>1643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79</cp:revision>
  <dcterms:created xsi:type="dcterms:W3CDTF">2022-02-08T13:14:00Z</dcterms:created>
  <dcterms:modified xsi:type="dcterms:W3CDTF">2025-12-02T11:48:00Z</dcterms:modified>
</cp:coreProperties>
</file>