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189AE64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04384F" w:rsidRPr="0004384F">
        <w:rPr>
          <w:sz w:val="27"/>
          <w:szCs w:val="27"/>
        </w:rPr>
        <w:t>UA-2026-01-19-015674-a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ADC8E87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04384F" w:rsidRPr="0004384F">
        <w:rPr>
          <w:sz w:val="27"/>
          <w:szCs w:val="27"/>
        </w:rPr>
        <w:t>30 021,03</w:t>
      </w:r>
      <w:r w:rsidR="0004384F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7A15E139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04384F" w:rsidRPr="0004384F">
        <w:rPr>
          <w:sz w:val="27"/>
          <w:szCs w:val="27"/>
        </w:rPr>
        <w:t xml:space="preserve">105,6 </w:t>
      </w:r>
      <w:proofErr w:type="spellStart"/>
      <w:r w:rsidR="0004384F" w:rsidRPr="0004384F">
        <w:rPr>
          <w:sz w:val="27"/>
          <w:szCs w:val="27"/>
        </w:rPr>
        <w:t>м.куб</w:t>
      </w:r>
      <w:proofErr w:type="spellEnd"/>
    </w:p>
    <w:p w14:paraId="694E1583" w14:textId="52762EB3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04384F" w:rsidRPr="0004384F">
        <w:rPr>
          <w:sz w:val="27"/>
          <w:szCs w:val="27"/>
        </w:rPr>
        <w:t>Київська обл., м. Ірпінь, вул. Мінеральна 7-а; вул. Личака 18.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4384F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A08E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2184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2026-02-12T14:45:00Z</dcterms:created>
  <dcterms:modified xsi:type="dcterms:W3CDTF">2026-02-12T14:45:00Z</dcterms:modified>
</cp:coreProperties>
</file>