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155D" w14:textId="77777777" w:rsidR="004F3DDA" w:rsidRPr="00A66637" w:rsidRDefault="004F3DDA" w:rsidP="00C54717">
      <w:pPr>
        <w:spacing w:line="240" w:lineRule="auto"/>
        <w:jc w:val="center"/>
        <w:rPr>
          <w:b/>
          <w:bCs/>
        </w:rPr>
      </w:pPr>
      <w:r w:rsidRPr="00A66637">
        <w:rPr>
          <w:b/>
          <w:bCs/>
        </w:rPr>
        <w:t>ОБҐРУНТУВАННЯ</w:t>
      </w:r>
    </w:p>
    <w:p w14:paraId="16A24765" w14:textId="77777777" w:rsidR="004F3DDA" w:rsidRPr="00A66637" w:rsidRDefault="004F3DDA" w:rsidP="00C54717">
      <w:pPr>
        <w:spacing w:line="240" w:lineRule="auto"/>
        <w:jc w:val="center"/>
        <w:rPr>
          <w:b/>
          <w:bCs/>
        </w:rPr>
      </w:pPr>
      <w:r w:rsidRPr="00A66637">
        <w:rPr>
          <w:b/>
          <w:bCs/>
        </w:rPr>
        <w:t>технічних та якісних характеристик закупівлі відкриті торги з особливостями</w:t>
      </w:r>
    </w:p>
    <w:p w14:paraId="4FFA92F3" w14:textId="77777777" w:rsidR="00215179" w:rsidRPr="00215179" w:rsidRDefault="00215179" w:rsidP="00215179">
      <w:pPr>
        <w:spacing w:line="240" w:lineRule="auto"/>
        <w:jc w:val="center"/>
        <w:rPr>
          <w:b/>
          <w:bCs/>
        </w:rPr>
      </w:pPr>
      <w:r w:rsidRPr="00215179">
        <w:rPr>
          <w:b/>
          <w:bCs/>
        </w:rPr>
        <w:t xml:space="preserve">Гарантійний ремонт та технічне обслуговування службового автотранспорту марки SKODA, </w:t>
      </w:r>
      <w:proofErr w:type="spellStart"/>
      <w:r w:rsidRPr="00215179">
        <w:rPr>
          <w:b/>
          <w:bCs/>
        </w:rPr>
        <w:t>Renault</w:t>
      </w:r>
      <w:proofErr w:type="spellEnd"/>
      <w:r w:rsidRPr="00215179">
        <w:rPr>
          <w:b/>
          <w:bCs/>
        </w:rPr>
        <w:t xml:space="preserve">, </w:t>
      </w:r>
      <w:proofErr w:type="spellStart"/>
      <w:r w:rsidRPr="00215179">
        <w:rPr>
          <w:b/>
          <w:bCs/>
        </w:rPr>
        <w:t>Toyota</w:t>
      </w:r>
      <w:proofErr w:type="spellEnd"/>
      <w:r>
        <w:rPr>
          <w:b/>
          <w:bCs/>
        </w:rPr>
        <w:t xml:space="preserve"> </w:t>
      </w:r>
      <w:r w:rsidR="009A67A5" w:rsidRPr="00A66637">
        <w:rPr>
          <w:b/>
          <w:bCs/>
        </w:rPr>
        <w:t xml:space="preserve">за кодом ДК 021:2015: </w:t>
      </w:r>
      <w:r w:rsidRPr="00215179">
        <w:rPr>
          <w:b/>
          <w:bCs/>
        </w:rPr>
        <w:t xml:space="preserve">50110000-9 «Послуги з ремонту і технічного обслуговування </w:t>
      </w:r>
      <w:proofErr w:type="spellStart"/>
      <w:r w:rsidRPr="00215179">
        <w:rPr>
          <w:b/>
          <w:bCs/>
        </w:rPr>
        <w:t>мототранспортних</w:t>
      </w:r>
      <w:proofErr w:type="spellEnd"/>
      <w:r w:rsidRPr="00215179">
        <w:rPr>
          <w:b/>
          <w:bCs/>
        </w:rPr>
        <w:t xml:space="preserve"> засобів і супутнього обладнання»</w:t>
      </w:r>
    </w:p>
    <w:p w14:paraId="2DFC3D27" w14:textId="5AE44679" w:rsidR="004F3DDA" w:rsidRPr="00A66637" w:rsidRDefault="004F3DDA" w:rsidP="00C54717">
      <w:pPr>
        <w:spacing w:line="240" w:lineRule="auto"/>
        <w:jc w:val="center"/>
        <w:rPr>
          <w:i/>
          <w:iCs/>
        </w:rPr>
      </w:pPr>
      <w:r w:rsidRPr="00A66637">
        <w:rPr>
          <w:i/>
          <w:iCs/>
        </w:rPr>
        <w:t>(оприлюднюється на виконання постанови КМУ № 710 від 11.10.2016 «Про ефективне використання державних коштів» (зі змінами))</w:t>
      </w:r>
    </w:p>
    <w:p w14:paraId="40C2C6DA" w14:textId="77777777" w:rsidR="004F3DDA" w:rsidRPr="00A66637" w:rsidRDefault="004F3DDA" w:rsidP="00C54717">
      <w:pPr>
        <w:spacing w:line="240" w:lineRule="auto"/>
        <w:jc w:val="both"/>
      </w:pPr>
    </w:p>
    <w:p w14:paraId="47851B2A" w14:textId="77777777" w:rsidR="00C54717" w:rsidRPr="00A66637" w:rsidRDefault="004F3DDA" w:rsidP="007D50C4">
      <w:pPr>
        <w:spacing w:line="240" w:lineRule="auto"/>
        <w:ind w:left="-567" w:firstLine="283"/>
        <w:jc w:val="both"/>
        <w:rPr>
          <w:sz w:val="27"/>
          <w:szCs w:val="27"/>
        </w:rPr>
      </w:pPr>
      <w:r w:rsidRPr="00A66637">
        <w:rPr>
          <w:b/>
          <w:bCs/>
          <w:sz w:val="27"/>
          <w:szCs w:val="27"/>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Pr="00A66637">
        <w:rPr>
          <w:sz w:val="27"/>
          <w:szCs w:val="27"/>
        </w:rPr>
        <w:t xml:space="preserve"> Головне управління Національної поліції в Київській області; </w:t>
      </w:r>
    </w:p>
    <w:p w14:paraId="09B74AF5" w14:textId="77777777" w:rsidR="00C54717" w:rsidRPr="00A66637" w:rsidRDefault="004F3DDA" w:rsidP="00C54717">
      <w:pPr>
        <w:pStyle w:val="a9"/>
        <w:numPr>
          <w:ilvl w:val="0"/>
          <w:numId w:val="1"/>
        </w:numPr>
        <w:spacing w:line="240" w:lineRule="auto"/>
        <w:ind w:left="-284" w:hanging="283"/>
        <w:jc w:val="both"/>
        <w:rPr>
          <w:sz w:val="27"/>
          <w:szCs w:val="27"/>
        </w:rPr>
      </w:pPr>
      <w:r w:rsidRPr="00A66637">
        <w:rPr>
          <w:b/>
          <w:bCs/>
          <w:sz w:val="27"/>
          <w:szCs w:val="27"/>
        </w:rPr>
        <w:t>категорія</w:t>
      </w:r>
      <w:r w:rsidRPr="00A66637">
        <w:rPr>
          <w:sz w:val="27"/>
          <w:szCs w:val="27"/>
        </w:rPr>
        <w:t xml:space="preserve"> - органи державної влади та органи місцевого самоврядування - правоохоронні органи держави; </w:t>
      </w:r>
    </w:p>
    <w:p w14:paraId="06B5171B" w14:textId="6C440D18" w:rsidR="00C54717" w:rsidRPr="00A66637" w:rsidRDefault="004F3DDA" w:rsidP="00C54717">
      <w:pPr>
        <w:pStyle w:val="a9"/>
        <w:numPr>
          <w:ilvl w:val="0"/>
          <w:numId w:val="1"/>
        </w:numPr>
        <w:spacing w:line="240" w:lineRule="auto"/>
        <w:ind w:left="-284" w:hanging="283"/>
        <w:jc w:val="both"/>
        <w:rPr>
          <w:sz w:val="27"/>
          <w:szCs w:val="27"/>
        </w:rPr>
      </w:pPr>
      <w:r w:rsidRPr="00A66637">
        <w:rPr>
          <w:b/>
          <w:bCs/>
          <w:sz w:val="27"/>
          <w:szCs w:val="27"/>
        </w:rPr>
        <w:t>місцезнаходження</w:t>
      </w:r>
      <w:r w:rsidR="00C54717" w:rsidRPr="00A66637">
        <w:rPr>
          <w:sz w:val="27"/>
          <w:szCs w:val="27"/>
        </w:rPr>
        <w:t xml:space="preserve">: </w:t>
      </w:r>
      <w:r w:rsidRPr="00A66637">
        <w:rPr>
          <w:sz w:val="27"/>
          <w:szCs w:val="27"/>
        </w:rPr>
        <w:t xml:space="preserve">01001, Україна, місто Київ, вул. Володимирська, 15; </w:t>
      </w:r>
    </w:p>
    <w:p w14:paraId="0B537031" w14:textId="7EA478A4" w:rsidR="004F3DDA" w:rsidRPr="00A66637" w:rsidRDefault="004F3DDA" w:rsidP="00C54717">
      <w:pPr>
        <w:pStyle w:val="a9"/>
        <w:numPr>
          <w:ilvl w:val="0"/>
          <w:numId w:val="1"/>
        </w:numPr>
        <w:spacing w:line="240" w:lineRule="auto"/>
        <w:ind w:left="-284" w:hanging="283"/>
        <w:jc w:val="both"/>
        <w:rPr>
          <w:sz w:val="27"/>
          <w:szCs w:val="27"/>
        </w:rPr>
      </w:pPr>
      <w:r w:rsidRPr="00A66637">
        <w:rPr>
          <w:b/>
          <w:bCs/>
          <w:sz w:val="27"/>
          <w:szCs w:val="27"/>
        </w:rPr>
        <w:t>ідентифікаційний код замовника в Єдиному державному реєстрі юридичних осіб</w:t>
      </w:r>
      <w:r w:rsidR="00C54717" w:rsidRPr="00A66637">
        <w:rPr>
          <w:sz w:val="27"/>
          <w:szCs w:val="27"/>
        </w:rPr>
        <w:t xml:space="preserve">: </w:t>
      </w:r>
      <w:r w:rsidRPr="00A66637">
        <w:rPr>
          <w:sz w:val="27"/>
          <w:szCs w:val="27"/>
        </w:rPr>
        <w:t>40108616.</w:t>
      </w:r>
    </w:p>
    <w:p w14:paraId="23A27A0F" w14:textId="77777777" w:rsidR="00215179" w:rsidRDefault="004F3DDA" w:rsidP="007D50C4">
      <w:pPr>
        <w:spacing w:line="240" w:lineRule="auto"/>
        <w:ind w:left="-567" w:firstLine="283"/>
        <w:jc w:val="both"/>
        <w:rPr>
          <w:sz w:val="27"/>
          <w:szCs w:val="27"/>
        </w:rPr>
      </w:pPr>
      <w:r w:rsidRPr="00A66637">
        <w:rPr>
          <w:b/>
          <w:bCs/>
          <w:sz w:val="27"/>
          <w:szCs w:val="27"/>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66637">
        <w:rPr>
          <w:sz w:val="27"/>
          <w:szCs w:val="27"/>
        </w:rPr>
        <w:t>: </w:t>
      </w:r>
      <w:r w:rsidR="00215179" w:rsidRPr="00215179">
        <w:rPr>
          <w:sz w:val="27"/>
          <w:szCs w:val="27"/>
        </w:rPr>
        <w:t xml:space="preserve">Гарантійний ремонт та технічне обслуговування службового автотранспорту марки SKODA, </w:t>
      </w:r>
      <w:proofErr w:type="spellStart"/>
      <w:r w:rsidR="00215179" w:rsidRPr="00215179">
        <w:rPr>
          <w:sz w:val="27"/>
          <w:szCs w:val="27"/>
        </w:rPr>
        <w:t>Renault</w:t>
      </w:r>
      <w:proofErr w:type="spellEnd"/>
      <w:r w:rsidR="00215179" w:rsidRPr="00215179">
        <w:rPr>
          <w:sz w:val="27"/>
          <w:szCs w:val="27"/>
        </w:rPr>
        <w:t xml:space="preserve">, </w:t>
      </w:r>
      <w:proofErr w:type="spellStart"/>
      <w:r w:rsidR="00215179" w:rsidRPr="00215179">
        <w:rPr>
          <w:sz w:val="27"/>
          <w:szCs w:val="27"/>
        </w:rPr>
        <w:t>Toyota</w:t>
      </w:r>
      <w:proofErr w:type="spellEnd"/>
      <w:r w:rsidR="00215179" w:rsidRPr="00215179">
        <w:rPr>
          <w:sz w:val="27"/>
          <w:szCs w:val="27"/>
        </w:rPr>
        <w:t xml:space="preserve"> за кодом ДК 021:2015: 50110000-9 «Послуги з ремонту і технічного обслуговування </w:t>
      </w:r>
      <w:proofErr w:type="spellStart"/>
      <w:r w:rsidR="00215179" w:rsidRPr="00215179">
        <w:rPr>
          <w:sz w:val="27"/>
          <w:szCs w:val="27"/>
        </w:rPr>
        <w:t>мототранспортних</w:t>
      </w:r>
      <w:proofErr w:type="spellEnd"/>
      <w:r w:rsidR="00215179" w:rsidRPr="00215179">
        <w:rPr>
          <w:sz w:val="27"/>
          <w:szCs w:val="27"/>
        </w:rPr>
        <w:t xml:space="preserve"> засобів і супутнього </w:t>
      </w:r>
      <w:proofErr w:type="spellStart"/>
      <w:r w:rsidR="00215179" w:rsidRPr="00215179">
        <w:rPr>
          <w:sz w:val="27"/>
          <w:szCs w:val="27"/>
        </w:rPr>
        <w:t>обладнання»</w:t>
      </w:r>
      <w:proofErr w:type="spellEnd"/>
    </w:p>
    <w:p w14:paraId="18B31826" w14:textId="3243D7B8" w:rsidR="00C54717" w:rsidRPr="00A66637" w:rsidRDefault="004F3DDA" w:rsidP="007D50C4">
      <w:pPr>
        <w:spacing w:line="240" w:lineRule="auto"/>
        <w:ind w:left="-567" w:firstLine="283"/>
        <w:jc w:val="both"/>
        <w:rPr>
          <w:sz w:val="27"/>
          <w:szCs w:val="27"/>
        </w:rPr>
      </w:pPr>
      <w:r w:rsidRPr="00A66637">
        <w:rPr>
          <w:b/>
          <w:bCs/>
          <w:sz w:val="27"/>
          <w:szCs w:val="27"/>
        </w:rPr>
        <w:t>Вид та ідентифікатор процедури закупівлі</w:t>
      </w:r>
      <w:r w:rsidRPr="00A66637">
        <w:rPr>
          <w:sz w:val="27"/>
          <w:szCs w:val="27"/>
        </w:rPr>
        <w:t xml:space="preserve">: Відкриті торги з особливостями </w:t>
      </w:r>
      <w:r w:rsidR="003D4706" w:rsidRPr="00A66637">
        <w:rPr>
          <w:sz w:val="27"/>
          <w:szCs w:val="27"/>
        </w:rPr>
        <w:t xml:space="preserve">           </w:t>
      </w:r>
      <w:r w:rsidR="00215179" w:rsidRPr="00215179">
        <w:rPr>
          <w:sz w:val="27"/>
          <w:szCs w:val="27"/>
        </w:rPr>
        <w:t>UA-2026-02-25-012921-a</w:t>
      </w:r>
      <w:r w:rsidR="007B7164" w:rsidRPr="00A66637">
        <w:rPr>
          <w:sz w:val="27"/>
          <w:szCs w:val="27"/>
        </w:rPr>
        <w:t>.</w:t>
      </w:r>
    </w:p>
    <w:p w14:paraId="2E2DD13C" w14:textId="2EC0B4E7" w:rsidR="007D50C4" w:rsidRPr="00A66637" w:rsidRDefault="004F3DDA" w:rsidP="007D50C4">
      <w:pPr>
        <w:spacing w:line="240" w:lineRule="auto"/>
        <w:ind w:left="-567" w:firstLine="283"/>
        <w:jc w:val="both"/>
        <w:rPr>
          <w:sz w:val="27"/>
          <w:szCs w:val="27"/>
        </w:rPr>
      </w:pPr>
      <w:r w:rsidRPr="00A66637">
        <w:rPr>
          <w:b/>
          <w:bCs/>
          <w:sz w:val="27"/>
          <w:szCs w:val="27"/>
        </w:rPr>
        <w:t>Розмір бюджетного призначення</w:t>
      </w:r>
      <w:r w:rsidRPr="00A66637">
        <w:rPr>
          <w:sz w:val="27"/>
          <w:szCs w:val="27"/>
        </w:rPr>
        <w:t>: сформований з урахуванням обсягів наявної потреби у товарах за кошти Державного бюджету України на 2026 рік.</w:t>
      </w:r>
    </w:p>
    <w:p w14:paraId="17BF08DF" w14:textId="796D6895" w:rsidR="007D50C4" w:rsidRPr="00A66637" w:rsidRDefault="004F3DDA" w:rsidP="007D50C4">
      <w:pPr>
        <w:spacing w:line="240" w:lineRule="auto"/>
        <w:ind w:left="-567" w:firstLine="283"/>
        <w:jc w:val="both"/>
        <w:rPr>
          <w:b/>
          <w:bCs/>
          <w:sz w:val="27"/>
          <w:szCs w:val="27"/>
        </w:rPr>
      </w:pPr>
      <w:r w:rsidRPr="00A66637">
        <w:rPr>
          <w:b/>
          <w:bCs/>
          <w:sz w:val="27"/>
          <w:szCs w:val="27"/>
        </w:rPr>
        <w:t>Очікувана вартість та обґрунтування очікуваної вартості предмета закупівлі:</w:t>
      </w:r>
      <w:r w:rsidR="003D4706" w:rsidRPr="00A66637">
        <w:rPr>
          <w:b/>
          <w:bCs/>
          <w:sz w:val="27"/>
          <w:szCs w:val="27"/>
        </w:rPr>
        <w:t xml:space="preserve">        </w:t>
      </w:r>
      <w:r w:rsidR="00215179" w:rsidRPr="00215179">
        <w:rPr>
          <w:sz w:val="27"/>
          <w:szCs w:val="27"/>
        </w:rPr>
        <w:t>5 766 118,32</w:t>
      </w:r>
      <w:r w:rsidR="00215179">
        <w:rPr>
          <w:sz w:val="27"/>
          <w:szCs w:val="27"/>
        </w:rPr>
        <w:t xml:space="preserve"> </w:t>
      </w:r>
      <w:r w:rsidR="007B35EA" w:rsidRPr="00A66637">
        <w:rPr>
          <w:sz w:val="27"/>
          <w:szCs w:val="27"/>
        </w:rPr>
        <w:t>грн</w:t>
      </w:r>
      <w:r w:rsidR="003D4706" w:rsidRPr="00A66637">
        <w:rPr>
          <w:sz w:val="27"/>
          <w:szCs w:val="27"/>
        </w:rPr>
        <w:t>.</w:t>
      </w:r>
    </w:p>
    <w:p w14:paraId="705D2643" w14:textId="4091C8A8" w:rsidR="00215179" w:rsidRDefault="00215179" w:rsidP="00215179">
      <w:pPr>
        <w:spacing w:line="240" w:lineRule="auto"/>
        <w:ind w:left="-567" w:firstLine="283"/>
        <w:jc w:val="both"/>
        <w:rPr>
          <w:sz w:val="27"/>
          <w:szCs w:val="27"/>
        </w:rPr>
      </w:pPr>
      <w:r w:rsidRPr="00215179">
        <w:rPr>
          <w:sz w:val="27"/>
          <w:szCs w:val="27"/>
        </w:rPr>
        <w:t>Замовником здійснено розрахунок очікуваної вартості послуг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13CB015B" w14:textId="54C04D2A" w:rsidR="00215179" w:rsidRPr="00215179" w:rsidRDefault="00215179" w:rsidP="00215179">
      <w:pPr>
        <w:spacing w:line="240" w:lineRule="auto"/>
        <w:ind w:left="-567" w:firstLine="283"/>
        <w:jc w:val="both"/>
        <w:rPr>
          <w:sz w:val="27"/>
          <w:szCs w:val="27"/>
        </w:rPr>
      </w:pPr>
      <w:r w:rsidRPr="00215179">
        <w:rPr>
          <w:sz w:val="27"/>
          <w:szCs w:val="27"/>
        </w:rPr>
        <w:t>Визначення очікуваної вартості предмета закупівлі здійснювалося з врахуванням комерційних пропозицій.</w:t>
      </w:r>
    </w:p>
    <w:p w14:paraId="11FFCEAF" w14:textId="440B76F9" w:rsidR="008566E7" w:rsidRDefault="004F3DDA" w:rsidP="00215179">
      <w:pPr>
        <w:spacing w:line="240" w:lineRule="auto"/>
        <w:ind w:left="-567" w:firstLine="283"/>
        <w:jc w:val="both"/>
        <w:rPr>
          <w:b/>
          <w:bCs/>
          <w:sz w:val="27"/>
          <w:szCs w:val="27"/>
        </w:rPr>
      </w:pPr>
      <w:r w:rsidRPr="00A66637">
        <w:rPr>
          <w:b/>
          <w:bCs/>
          <w:sz w:val="27"/>
          <w:szCs w:val="27"/>
        </w:rPr>
        <w:t>Обґрунтування технічних, якісних характеристик:</w:t>
      </w:r>
    </w:p>
    <w:p w14:paraId="0F568D61" w14:textId="77777777" w:rsidR="00215179" w:rsidRPr="00215179" w:rsidRDefault="00215179" w:rsidP="00215179">
      <w:pPr>
        <w:spacing w:line="240" w:lineRule="auto"/>
        <w:ind w:left="-567" w:firstLine="283"/>
        <w:jc w:val="both"/>
        <w:rPr>
          <w:b/>
          <w:bCs/>
          <w:sz w:val="27"/>
          <w:szCs w:val="27"/>
        </w:rPr>
      </w:pPr>
      <w:r w:rsidRPr="00215179">
        <w:rPr>
          <w:b/>
          <w:bCs/>
          <w:sz w:val="27"/>
          <w:szCs w:val="27"/>
        </w:rPr>
        <w:t>Лот №1</w:t>
      </w:r>
    </w:p>
    <w:p w14:paraId="067A8B86" w14:textId="3F20FEDD" w:rsidR="00215179" w:rsidRPr="00215179" w:rsidRDefault="00215179" w:rsidP="00215179">
      <w:pPr>
        <w:spacing w:line="240" w:lineRule="auto"/>
        <w:ind w:left="-567" w:firstLine="283"/>
        <w:jc w:val="both"/>
        <w:rPr>
          <w:sz w:val="27"/>
          <w:szCs w:val="27"/>
        </w:rPr>
      </w:pPr>
      <w:r w:rsidRPr="00215179">
        <w:rPr>
          <w:sz w:val="27"/>
          <w:szCs w:val="27"/>
        </w:rPr>
        <w:lastRenderedPageBreak/>
        <w:t xml:space="preserve">З метою підтвердження придатності вимірювального обладнання та процесів вимірювання, досягнення цілей щодо якості послуг та мінімізації ризиків отримання невірогідних результатів вимірювання Учасник надає Сертифікат визнання вимірювальних можливостей (сертифікат про відповідність системи вимірювань) станції технічного обслуговування, виданий органами які акредитовані Національним агентством з акредитації України. Сертифікат повинен бути чинним на дату розкриття тендерної пропозиції. Перелік об’єктів вимірювань повинен бути вказаний у додатку (додатках) до цього сертифіката та включати всі без виключення наступні пункти: прилади зовнішні світлові, рульове керування, колеса та шини, гальмівні системи, двигуни та їх системи, склоочисники та </w:t>
      </w:r>
      <w:proofErr w:type="spellStart"/>
      <w:r w:rsidRPr="00215179">
        <w:rPr>
          <w:sz w:val="27"/>
          <w:szCs w:val="27"/>
        </w:rPr>
        <w:t>склоомивачі</w:t>
      </w:r>
      <w:proofErr w:type="spellEnd"/>
      <w:r w:rsidRPr="00215179">
        <w:rPr>
          <w:sz w:val="27"/>
          <w:szCs w:val="27"/>
        </w:rPr>
        <w:t xml:space="preserve"> лобового скла, вітрове скло, підвіски та трансмісії, електрообладнання автомобіля. Додаток (додатки) є невід'ємною складовою частиною Сертифікату та підтверджує необхідну і достатню </w:t>
      </w:r>
      <w:proofErr w:type="spellStart"/>
      <w:r w:rsidRPr="00215179">
        <w:rPr>
          <w:sz w:val="27"/>
          <w:szCs w:val="27"/>
        </w:rPr>
        <w:t>релевантність</w:t>
      </w:r>
      <w:proofErr w:type="spellEnd"/>
      <w:r w:rsidRPr="00215179">
        <w:rPr>
          <w:sz w:val="27"/>
          <w:szCs w:val="27"/>
        </w:rPr>
        <w:t xml:space="preserve"> з відповідними положеннями ДСТУ ISO 10012:2005 "Системи керування вимірюванням. Вимоги до процесів вимірювання та вимірювального обладнання". А також Учасник повинен надати сертифікати/свідоцтва калібрування/повірок вимірювального обладнання, виданих не раніше 1 року відносно кінцевої дати подання пропозицій організацією (калібрувальною лабораторією), яка акредитована відповідно до вимог стандарту ДСТУ ISO/ІЕС 17025, на наступне вимірювальне обладнання:</w:t>
      </w:r>
    </w:p>
    <w:p w14:paraId="26473985" w14:textId="77777777" w:rsidR="00215179" w:rsidRPr="00215179" w:rsidRDefault="00215179" w:rsidP="00215179">
      <w:pPr>
        <w:spacing w:line="240" w:lineRule="auto"/>
        <w:ind w:left="-567" w:firstLine="283"/>
        <w:jc w:val="both"/>
        <w:rPr>
          <w:sz w:val="27"/>
          <w:szCs w:val="27"/>
        </w:rPr>
      </w:pPr>
      <w:r w:rsidRPr="00215179">
        <w:rPr>
          <w:sz w:val="27"/>
          <w:szCs w:val="27"/>
        </w:rPr>
        <w:t>– стенд для перевірки гальмівних сил автотранспортних засобів з вимірювачем часу спрацювання гальм;</w:t>
      </w:r>
    </w:p>
    <w:p w14:paraId="157672BE" w14:textId="77777777" w:rsidR="00215179" w:rsidRPr="00215179" w:rsidRDefault="00215179" w:rsidP="00215179">
      <w:pPr>
        <w:spacing w:line="240" w:lineRule="auto"/>
        <w:ind w:left="-567" w:firstLine="283"/>
        <w:jc w:val="both"/>
        <w:rPr>
          <w:sz w:val="27"/>
          <w:szCs w:val="27"/>
        </w:rPr>
      </w:pPr>
      <w:r w:rsidRPr="00215179">
        <w:rPr>
          <w:sz w:val="27"/>
          <w:szCs w:val="27"/>
        </w:rPr>
        <w:t>– стенд для контролю та регулювання світла фар;</w:t>
      </w:r>
    </w:p>
    <w:p w14:paraId="7C1CAB2D" w14:textId="77777777" w:rsidR="00215179" w:rsidRPr="00215179" w:rsidRDefault="00215179" w:rsidP="00215179">
      <w:pPr>
        <w:spacing w:line="240" w:lineRule="auto"/>
        <w:ind w:left="-567" w:firstLine="283"/>
        <w:jc w:val="both"/>
        <w:rPr>
          <w:sz w:val="27"/>
          <w:szCs w:val="27"/>
        </w:rPr>
      </w:pPr>
      <w:r w:rsidRPr="00215179">
        <w:rPr>
          <w:sz w:val="27"/>
          <w:szCs w:val="27"/>
        </w:rPr>
        <w:t xml:space="preserve">– ключ </w:t>
      </w:r>
      <w:proofErr w:type="spellStart"/>
      <w:r w:rsidRPr="00215179">
        <w:rPr>
          <w:sz w:val="27"/>
          <w:szCs w:val="27"/>
        </w:rPr>
        <w:t>моментний</w:t>
      </w:r>
      <w:proofErr w:type="spellEnd"/>
      <w:r w:rsidRPr="00215179">
        <w:rPr>
          <w:sz w:val="27"/>
          <w:szCs w:val="27"/>
        </w:rPr>
        <w:t>;</w:t>
      </w:r>
    </w:p>
    <w:p w14:paraId="72DFDA7A" w14:textId="77777777" w:rsidR="00215179" w:rsidRPr="00215179" w:rsidRDefault="00215179" w:rsidP="00215179">
      <w:pPr>
        <w:spacing w:line="240" w:lineRule="auto"/>
        <w:ind w:left="-567" w:firstLine="283"/>
        <w:jc w:val="both"/>
        <w:rPr>
          <w:sz w:val="27"/>
          <w:szCs w:val="27"/>
        </w:rPr>
      </w:pPr>
      <w:r w:rsidRPr="00215179">
        <w:rPr>
          <w:sz w:val="27"/>
          <w:szCs w:val="27"/>
        </w:rPr>
        <w:t>– стенд регулювання розвалу і сходження коліс;</w:t>
      </w:r>
    </w:p>
    <w:p w14:paraId="10CD615A" w14:textId="77777777" w:rsidR="00215179" w:rsidRPr="00215179" w:rsidRDefault="00215179" w:rsidP="00215179">
      <w:pPr>
        <w:spacing w:line="240" w:lineRule="auto"/>
        <w:ind w:left="-567" w:firstLine="283"/>
        <w:jc w:val="both"/>
        <w:rPr>
          <w:sz w:val="27"/>
          <w:szCs w:val="27"/>
        </w:rPr>
      </w:pPr>
      <w:r w:rsidRPr="00215179">
        <w:rPr>
          <w:sz w:val="27"/>
          <w:szCs w:val="27"/>
        </w:rPr>
        <w:t>– ділянка дороги;</w:t>
      </w:r>
    </w:p>
    <w:p w14:paraId="321C63E2" w14:textId="77777777" w:rsidR="00215179" w:rsidRPr="00215179" w:rsidRDefault="00215179" w:rsidP="00215179">
      <w:pPr>
        <w:spacing w:line="240" w:lineRule="auto"/>
        <w:ind w:left="-567" w:firstLine="283"/>
        <w:jc w:val="both"/>
        <w:rPr>
          <w:sz w:val="27"/>
          <w:szCs w:val="27"/>
        </w:rPr>
      </w:pPr>
      <w:r w:rsidRPr="00215179">
        <w:rPr>
          <w:sz w:val="27"/>
          <w:szCs w:val="27"/>
        </w:rPr>
        <w:t xml:space="preserve">– </w:t>
      </w:r>
      <w:proofErr w:type="spellStart"/>
      <w:r w:rsidRPr="00215179">
        <w:rPr>
          <w:sz w:val="27"/>
          <w:szCs w:val="27"/>
        </w:rPr>
        <w:t>мультиметр</w:t>
      </w:r>
      <w:proofErr w:type="spellEnd"/>
      <w:r w:rsidRPr="00215179">
        <w:rPr>
          <w:sz w:val="27"/>
          <w:szCs w:val="27"/>
        </w:rPr>
        <w:t>;</w:t>
      </w:r>
    </w:p>
    <w:p w14:paraId="063092B2" w14:textId="77777777" w:rsidR="00215179" w:rsidRPr="00215179" w:rsidRDefault="00215179" w:rsidP="00215179">
      <w:pPr>
        <w:spacing w:line="240" w:lineRule="auto"/>
        <w:ind w:left="-567" w:firstLine="283"/>
        <w:jc w:val="both"/>
        <w:rPr>
          <w:sz w:val="27"/>
          <w:szCs w:val="27"/>
        </w:rPr>
      </w:pPr>
      <w:r w:rsidRPr="00215179">
        <w:rPr>
          <w:sz w:val="27"/>
          <w:szCs w:val="27"/>
        </w:rPr>
        <w:t>– вимірювач рівня звуку;</w:t>
      </w:r>
    </w:p>
    <w:p w14:paraId="107875FB" w14:textId="77777777" w:rsidR="00215179" w:rsidRPr="00215179" w:rsidRDefault="00215179" w:rsidP="00215179">
      <w:pPr>
        <w:spacing w:line="240" w:lineRule="auto"/>
        <w:ind w:left="-567" w:firstLine="283"/>
        <w:jc w:val="both"/>
        <w:rPr>
          <w:sz w:val="27"/>
          <w:szCs w:val="27"/>
        </w:rPr>
      </w:pPr>
      <w:r w:rsidRPr="00215179">
        <w:rPr>
          <w:sz w:val="27"/>
          <w:szCs w:val="27"/>
        </w:rPr>
        <w:t>– манометр;</w:t>
      </w:r>
    </w:p>
    <w:p w14:paraId="7852E450" w14:textId="77777777" w:rsidR="00215179" w:rsidRPr="00215179" w:rsidRDefault="00215179" w:rsidP="00215179">
      <w:pPr>
        <w:spacing w:line="240" w:lineRule="auto"/>
        <w:ind w:left="-567" w:firstLine="283"/>
        <w:jc w:val="both"/>
        <w:rPr>
          <w:sz w:val="27"/>
          <w:szCs w:val="27"/>
        </w:rPr>
      </w:pPr>
      <w:r w:rsidRPr="00215179">
        <w:rPr>
          <w:sz w:val="27"/>
          <w:szCs w:val="27"/>
        </w:rPr>
        <w:t xml:space="preserve">– </w:t>
      </w:r>
      <w:proofErr w:type="spellStart"/>
      <w:r w:rsidRPr="00215179">
        <w:rPr>
          <w:sz w:val="27"/>
          <w:szCs w:val="27"/>
        </w:rPr>
        <w:t>компресіограф</w:t>
      </w:r>
      <w:proofErr w:type="spellEnd"/>
      <w:r w:rsidRPr="00215179">
        <w:rPr>
          <w:sz w:val="27"/>
          <w:szCs w:val="27"/>
        </w:rPr>
        <w:t>;</w:t>
      </w:r>
    </w:p>
    <w:p w14:paraId="1F0DD1DE" w14:textId="77777777" w:rsidR="00215179" w:rsidRPr="00215179" w:rsidRDefault="00215179" w:rsidP="00215179">
      <w:pPr>
        <w:spacing w:line="240" w:lineRule="auto"/>
        <w:ind w:left="-567" w:firstLine="283"/>
        <w:jc w:val="both"/>
        <w:rPr>
          <w:sz w:val="27"/>
          <w:szCs w:val="27"/>
        </w:rPr>
      </w:pPr>
      <w:r w:rsidRPr="00215179">
        <w:rPr>
          <w:sz w:val="27"/>
          <w:szCs w:val="27"/>
        </w:rPr>
        <w:t>– вимірювач натягу ременів.</w:t>
      </w:r>
    </w:p>
    <w:p w14:paraId="7038EE6A" w14:textId="6FDE355B" w:rsidR="00215179" w:rsidRPr="00215179" w:rsidRDefault="00215179" w:rsidP="00215179">
      <w:pPr>
        <w:spacing w:line="240" w:lineRule="auto"/>
        <w:ind w:left="-567" w:firstLine="283"/>
        <w:jc w:val="both"/>
        <w:rPr>
          <w:sz w:val="27"/>
          <w:szCs w:val="27"/>
        </w:rPr>
      </w:pPr>
      <w:r w:rsidRPr="00215179">
        <w:rPr>
          <w:sz w:val="27"/>
          <w:szCs w:val="27"/>
        </w:rPr>
        <w:t>На підтвердження, що компанія прагне:</w:t>
      </w:r>
    </w:p>
    <w:p w14:paraId="531F3E42" w14:textId="77777777" w:rsidR="00215179" w:rsidRPr="00215179" w:rsidRDefault="00215179" w:rsidP="00215179">
      <w:pPr>
        <w:spacing w:line="240" w:lineRule="auto"/>
        <w:ind w:left="-567" w:firstLine="283"/>
        <w:jc w:val="both"/>
        <w:rPr>
          <w:sz w:val="27"/>
          <w:szCs w:val="27"/>
        </w:rPr>
      </w:pPr>
      <w:r w:rsidRPr="00215179">
        <w:rPr>
          <w:sz w:val="27"/>
          <w:szCs w:val="27"/>
        </w:rPr>
        <w:t>-</w:t>
      </w:r>
      <w:r w:rsidRPr="00215179">
        <w:rPr>
          <w:sz w:val="27"/>
          <w:szCs w:val="27"/>
        </w:rPr>
        <w:tab/>
        <w:t xml:space="preserve">підвищення рівня екологічної безпеки та впроваджує стандарти екології з урахуванням існуючих можливостей станція технічного обслуговування Учасника, де будуть надаватися послуги з технічного обслуговування і ремонту транспортних засобів Замовника повинна мати впроваджену систему екологічного управління, яка відповідає вимогам ДСТУ ISO 14001:2015 «Системи екологічного управління. Вимоги та настанови щодо застосування». (Учасник зобов’язаний надати копію діючого сертифікату на систему екологічного управління (стосовно надання послуг з технічного обслуговування та ремонту автотранспортних засобів), виданого органом з сертифікації систем менеджменту, акредитованого згідно Реєстру НААУ на відповідність вимогам ДСТУ EN ISO/IEC 17021-1, який засвідчує, що система екологічного управління учасника відповідає вимогам ДСТУ ISO 14001:2015 (ISO 14001:2015, IDT) «Системи екологічного управління. Вимоги та настанови щодо застосування», разом зі сканованою копією </w:t>
      </w:r>
      <w:r w:rsidRPr="00215179">
        <w:rPr>
          <w:sz w:val="27"/>
          <w:szCs w:val="27"/>
        </w:rPr>
        <w:lastRenderedPageBreak/>
        <w:t xml:space="preserve">атестату про акредитацію такого органу сертифікації, у випадку, якщо станом на кінцеву дату подання пропозицій Сертифікат діє більше року, він має бути наданий разом з документом, що підтверджує дотримання Учасником вимог щодо проведення річного наглядового аудиту відповідності системи, - звіту за результатами технічного нагляду); </w:t>
      </w:r>
    </w:p>
    <w:p w14:paraId="70A45D97" w14:textId="77777777" w:rsidR="00215179" w:rsidRPr="00215179" w:rsidRDefault="00215179" w:rsidP="00215179">
      <w:pPr>
        <w:spacing w:line="240" w:lineRule="auto"/>
        <w:ind w:left="-567" w:firstLine="283"/>
        <w:jc w:val="both"/>
        <w:rPr>
          <w:sz w:val="27"/>
          <w:szCs w:val="27"/>
        </w:rPr>
      </w:pPr>
      <w:r w:rsidRPr="00215179">
        <w:rPr>
          <w:sz w:val="27"/>
          <w:szCs w:val="27"/>
        </w:rPr>
        <w:t>-</w:t>
      </w:r>
      <w:r w:rsidRPr="00215179">
        <w:rPr>
          <w:sz w:val="27"/>
          <w:szCs w:val="27"/>
        </w:rPr>
        <w:tab/>
        <w:t>удосконалення власних послуг, налагодження своїх бізнес-процесів при цьому всі технічні, адміністративні і людські чинники, що впливають на якість Послуг, знаходяться під контролем учасник повинен мати впроваджену на підприємстві систему управління якістю з технічного обслуговування та ремонту автотранспортних засобів, сертифікованих згідно ДСТУ ISO 9001:2018 (Учасник зобов’язаний надати копію діючого сертифікату, на систему управління якістю (стосовно надання послуг з технічного обслуговування та ремонту автотранспортних засобів), виданого органом з сертифікації систем менеджменту, акредитованого згідно Реєстру НААУ на відповідність вимогам ДСТУ EN ISO/IEC 17021-1, який засвідчує, що система управління якістю учасника відповідає вимогам ДСТУ EN ISO 9001:2018 (EN ISO 9001:2015, IDT; ISO 9001:2015, IDT) «Системи управління якістю. Вимоги», разом зі сканованою копією атестату про акредитацію такого органу сертифікації, у випадку, якщо станом на кінцеву дату подання пропозицій Сертифікат діє більше року, він має бути наданий разом з документом, що підтверджує дотримання Учасником вимог щодо проведення річного наглядового аудиту відповідності системи, - звіту за результатами технічного нагляду).</w:t>
      </w:r>
    </w:p>
    <w:p w14:paraId="6CA74E1B" w14:textId="3AB1D26E" w:rsidR="00215179" w:rsidRPr="00215179" w:rsidRDefault="00215179" w:rsidP="00215179">
      <w:pPr>
        <w:spacing w:line="240" w:lineRule="auto"/>
        <w:ind w:left="-567" w:firstLine="283"/>
        <w:jc w:val="both"/>
        <w:rPr>
          <w:sz w:val="27"/>
          <w:szCs w:val="27"/>
        </w:rPr>
      </w:pPr>
      <w:r w:rsidRPr="00215179">
        <w:rPr>
          <w:sz w:val="27"/>
          <w:szCs w:val="27"/>
        </w:rPr>
        <w:t>Станція технічного обслуговування Учасника, де будуть надаватися послуги з технічного обслуговування і ремонту транспортних засобів Замовника повинна мати впроваджену систему управління охороною здоров’я та безпекою праці, яка відповідає вимогам ДСТУ ISO 45001:2019 «Системи управління охороною здоров’я та безпекою праці. Вимоги та настанови щодо застосування». (на підтвердження Учасник зобов’язаний надати копію діючого сертифікату на систему управління охороною здоров’я та безпекою праці (стосовно надання послуг з технічного обслуговування та ремонту автотранспортних засобів), виданого органом з сертифікації систем менеджменту, акредитованого на день подачі Учасником пропозиції згідно Реєстру НААУ на відповідність вимогам ДСТУ EN ISO/IEC 17021-1, який засвідчує, що система управління охороною здоров’я та безпекою праці учасника відповідає вимогам ДСТУ ISO 45001:2019 «Системи управління охороною здоров’я та безпекою праці. Вимоги та настанови щодо застосування», разом з копією атестату про акредитацію органу з сертифікації, яким видано сертифікат. У випадку, якщо станом на кінцеву дату подання пропозицій Сертифікат діє більше року, він має бути наданий разом з документом, що підтверджує дотримання Учасником вимог щодо проведення річного наглядового аудиту відповідності системи, - звіту за результатами технічного нагляду).</w:t>
      </w:r>
    </w:p>
    <w:p w14:paraId="696C6382" w14:textId="588FAA5F" w:rsidR="00215179" w:rsidRPr="00215179" w:rsidRDefault="00215179" w:rsidP="00215179">
      <w:pPr>
        <w:spacing w:line="240" w:lineRule="auto"/>
        <w:ind w:left="-567" w:firstLine="283"/>
        <w:jc w:val="both"/>
        <w:rPr>
          <w:sz w:val="27"/>
          <w:szCs w:val="27"/>
        </w:rPr>
      </w:pPr>
      <w:r w:rsidRPr="00215179">
        <w:rPr>
          <w:sz w:val="27"/>
          <w:szCs w:val="27"/>
        </w:rPr>
        <w:t>Для підтвердження сталого функціонування підприємства, гарантій постійної наявності на підприємстві Учасника робітничого персоналу, ІТР, менеджерів, тощо підприємство Учасника повинно мати статус критичного важливого для функціонування економіки та забезпечення життєдіяльності населення територіальної громади міста Києва в особливий період (надати копію відповідних документів, виданих уповноваженою на це установою/організацією тощо), а також надати гарантійний лист про бронювання не менш ніж 10-ка працівників підприємства Учасника (Замовником може бути здійснено виїзд на СТО Учасника для перевірки оригіналів документів щодо кількості заброньованих працівників).</w:t>
      </w:r>
    </w:p>
    <w:p w14:paraId="7E325C3F" w14:textId="1A87E28B" w:rsidR="00215179" w:rsidRPr="00215179" w:rsidRDefault="00215179" w:rsidP="00215179">
      <w:pPr>
        <w:spacing w:line="240" w:lineRule="auto"/>
        <w:ind w:left="-567" w:firstLine="283"/>
        <w:jc w:val="both"/>
        <w:rPr>
          <w:sz w:val="27"/>
          <w:szCs w:val="27"/>
        </w:rPr>
      </w:pPr>
      <w:r w:rsidRPr="00215179">
        <w:rPr>
          <w:sz w:val="27"/>
          <w:szCs w:val="27"/>
        </w:rPr>
        <w:lastRenderedPageBreak/>
        <w:t>Для проведення послуг, СТО повинно мати сертифікат на гарантійне обслуговування офіційного дилера «SKODA».</w:t>
      </w:r>
    </w:p>
    <w:p w14:paraId="2E932BC2" w14:textId="37C61EAB" w:rsidR="00215179" w:rsidRPr="00215179" w:rsidRDefault="00215179" w:rsidP="00215179">
      <w:pPr>
        <w:spacing w:line="240" w:lineRule="auto"/>
        <w:ind w:left="-567" w:firstLine="283"/>
        <w:jc w:val="both"/>
        <w:rPr>
          <w:sz w:val="27"/>
          <w:szCs w:val="27"/>
        </w:rPr>
      </w:pPr>
      <w:r w:rsidRPr="00215179">
        <w:rPr>
          <w:sz w:val="27"/>
          <w:szCs w:val="27"/>
        </w:rPr>
        <w:t>Для скорочення експлуатаційних витрат та оптимізації робочого часу, СТО повинна розміщуватися в межах міста Києва та мати зручні прямолінійні під’їзди  (на підтвердження надати довідку із планом-схемою проїзду, а також копію документа, що підтверджує місцезнаходження приміщень  СТО та складу запасних частин Учасника (копія свідоцтва про  право власності приміщень або копія договору оренди приміщень, при цьому термін дії договору оренди повинен бути не менше терміну дії договору про закупівлю).</w:t>
      </w:r>
    </w:p>
    <w:p w14:paraId="5F026B8B" w14:textId="77777777" w:rsidR="00215179" w:rsidRPr="00215179" w:rsidRDefault="00215179" w:rsidP="00215179">
      <w:pPr>
        <w:spacing w:line="240" w:lineRule="auto"/>
        <w:ind w:left="-567" w:firstLine="283"/>
        <w:jc w:val="both"/>
        <w:rPr>
          <w:b/>
          <w:bCs/>
          <w:sz w:val="27"/>
          <w:szCs w:val="27"/>
        </w:rPr>
      </w:pPr>
      <w:r w:rsidRPr="00215179">
        <w:rPr>
          <w:b/>
          <w:bCs/>
          <w:sz w:val="27"/>
          <w:szCs w:val="27"/>
        </w:rPr>
        <w:t>Лот №2</w:t>
      </w:r>
    </w:p>
    <w:p w14:paraId="7AE4AAEE" w14:textId="469360EF" w:rsidR="00215179" w:rsidRPr="00215179" w:rsidRDefault="00215179" w:rsidP="00215179">
      <w:pPr>
        <w:spacing w:line="240" w:lineRule="auto"/>
        <w:ind w:left="-567" w:firstLine="283"/>
        <w:jc w:val="both"/>
        <w:rPr>
          <w:sz w:val="27"/>
          <w:szCs w:val="27"/>
        </w:rPr>
      </w:pPr>
      <w:r w:rsidRPr="00215179">
        <w:rPr>
          <w:sz w:val="27"/>
          <w:szCs w:val="27"/>
        </w:rPr>
        <w:t>Для проведення послуг, СТО повинно мати сертифікат на гарантійне обслуговування офіційного дилера «RENAULT».</w:t>
      </w:r>
    </w:p>
    <w:p w14:paraId="576F6648" w14:textId="0D80E39B" w:rsidR="00215179" w:rsidRPr="00215179" w:rsidRDefault="00215179" w:rsidP="00215179">
      <w:pPr>
        <w:spacing w:line="240" w:lineRule="auto"/>
        <w:ind w:left="-567" w:firstLine="283"/>
        <w:jc w:val="both"/>
        <w:rPr>
          <w:sz w:val="27"/>
          <w:szCs w:val="27"/>
        </w:rPr>
      </w:pPr>
      <w:r w:rsidRPr="00215179">
        <w:rPr>
          <w:sz w:val="27"/>
          <w:szCs w:val="27"/>
        </w:rPr>
        <w:t>Для скорочення експлуатаційних витрат та оптимізації робочого часу, СТО повинна розміщуватися в межах міста Києва та Київської області, мати зручні прямолінійні під’їзди  (на підтвердження надати довідку із планом-схемою проїзду, а також копію документа, що підтверджує місцезнаходження приміщень  СТО та складу запасних частин Учасника (копія свідоцтва про  право власності приміщень або копія договору оренди приміщень, при цьому термін дії договору оренди повинен бути не менше терміну дії договору про закупівлю).</w:t>
      </w:r>
    </w:p>
    <w:p w14:paraId="67B3CE3E" w14:textId="77777777" w:rsidR="00215179" w:rsidRPr="00215179" w:rsidRDefault="00215179" w:rsidP="00215179">
      <w:pPr>
        <w:spacing w:line="240" w:lineRule="auto"/>
        <w:ind w:left="-567" w:firstLine="283"/>
        <w:jc w:val="both"/>
        <w:rPr>
          <w:b/>
          <w:bCs/>
          <w:sz w:val="27"/>
          <w:szCs w:val="27"/>
        </w:rPr>
      </w:pPr>
      <w:r w:rsidRPr="00215179">
        <w:rPr>
          <w:b/>
          <w:bCs/>
          <w:sz w:val="27"/>
          <w:szCs w:val="27"/>
        </w:rPr>
        <w:t>Лот №3</w:t>
      </w:r>
    </w:p>
    <w:p w14:paraId="77FC048D" w14:textId="24A85E0B" w:rsidR="00215179" w:rsidRPr="00215179" w:rsidRDefault="00215179" w:rsidP="00215179">
      <w:pPr>
        <w:spacing w:line="240" w:lineRule="auto"/>
        <w:ind w:left="-567" w:firstLine="283"/>
        <w:jc w:val="both"/>
        <w:rPr>
          <w:sz w:val="27"/>
          <w:szCs w:val="27"/>
        </w:rPr>
      </w:pPr>
      <w:r w:rsidRPr="00215179">
        <w:rPr>
          <w:sz w:val="27"/>
          <w:szCs w:val="27"/>
        </w:rPr>
        <w:t>Для проведення послуг, СТО повинно мати сертифікат на гарантійне обслуговування офіційного дилера «TOYOTA».</w:t>
      </w:r>
    </w:p>
    <w:p w14:paraId="444E0A2C" w14:textId="4AA9D988" w:rsidR="00215179" w:rsidRPr="00215179" w:rsidRDefault="00215179" w:rsidP="00215179">
      <w:pPr>
        <w:spacing w:line="240" w:lineRule="auto"/>
        <w:ind w:left="-567" w:firstLine="283"/>
        <w:jc w:val="both"/>
        <w:rPr>
          <w:sz w:val="27"/>
          <w:szCs w:val="27"/>
        </w:rPr>
      </w:pPr>
      <w:r w:rsidRPr="00215179">
        <w:rPr>
          <w:sz w:val="27"/>
          <w:szCs w:val="27"/>
        </w:rPr>
        <w:t>Для скорочення експлуатаційних витрат та оптимізації робочого часу, СТО повинна розміщуватися в межах міста Києва та Київської області, мати зручні прямолінійні під’їзди  (на підтвердження надати довідку із планом-схемою проїзду, а також копію документа, що підтверджує місцезнаходження приміщень  СТО та складу запасних частин Учасника (копія свідоцтва про  право власності приміщень або копія договору оренди приміщень, при цьому термін дії договору оренди повинен бути не менше терміну дії договору про закупівлю).</w:t>
      </w:r>
    </w:p>
    <w:p w14:paraId="00E922BD" w14:textId="4F6FBE96" w:rsidR="00215179" w:rsidRPr="00215179" w:rsidRDefault="00215179" w:rsidP="00215179">
      <w:pPr>
        <w:spacing w:line="240" w:lineRule="auto"/>
        <w:ind w:left="-567" w:firstLine="283"/>
        <w:jc w:val="both"/>
        <w:rPr>
          <w:sz w:val="27"/>
          <w:szCs w:val="27"/>
        </w:rPr>
      </w:pPr>
      <w:r w:rsidRPr="00215179">
        <w:rPr>
          <w:sz w:val="27"/>
          <w:szCs w:val="27"/>
        </w:rPr>
        <w:t>Документи, що підтверджують повноваження щодо підпису документів тендерної пропозиції та внесення інформації в електронні поля тендерної пропозиції:</w:t>
      </w:r>
    </w:p>
    <w:p w14:paraId="0AE65D98" w14:textId="77777777" w:rsidR="00215179" w:rsidRPr="00215179" w:rsidRDefault="00215179" w:rsidP="00215179">
      <w:pPr>
        <w:spacing w:line="240" w:lineRule="auto"/>
        <w:ind w:left="-567" w:firstLine="283"/>
        <w:jc w:val="both"/>
        <w:rPr>
          <w:sz w:val="27"/>
          <w:szCs w:val="27"/>
        </w:rPr>
      </w:pPr>
      <w:r w:rsidRPr="00215179">
        <w:rPr>
          <w:sz w:val="27"/>
          <w:szCs w:val="27"/>
        </w:rPr>
        <w:t>- для посадової особи або представника учасника процедури закупівлі: протокол засновників та/або наказ про призначення, протокол тощо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w:t>
      </w:r>
    </w:p>
    <w:p w14:paraId="42A134C9" w14:textId="77777777" w:rsidR="00215179" w:rsidRPr="00215179" w:rsidRDefault="00215179" w:rsidP="00215179">
      <w:pPr>
        <w:spacing w:line="240" w:lineRule="auto"/>
        <w:ind w:left="-567" w:firstLine="283"/>
        <w:jc w:val="both"/>
        <w:rPr>
          <w:sz w:val="27"/>
          <w:szCs w:val="27"/>
        </w:rPr>
      </w:pPr>
      <w:r w:rsidRPr="00215179">
        <w:rPr>
          <w:sz w:val="27"/>
          <w:szCs w:val="27"/>
        </w:rPr>
        <w:t>- для фізичної особи, у тому числі фізичної особи-підприємця: не вимагається.</w:t>
      </w:r>
    </w:p>
    <w:p w14:paraId="3D72DA93" w14:textId="0CEF5996" w:rsidR="00215179" w:rsidRPr="00215179" w:rsidRDefault="00215179" w:rsidP="00215179">
      <w:pPr>
        <w:spacing w:line="240" w:lineRule="auto"/>
        <w:ind w:left="-567" w:firstLine="283"/>
        <w:jc w:val="both"/>
        <w:rPr>
          <w:sz w:val="27"/>
          <w:szCs w:val="27"/>
        </w:rPr>
      </w:pPr>
      <w:r w:rsidRPr="00215179">
        <w:rPr>
          <w:sz w:val="27"/>
          <w:szCs w:val="27"/>
        </w:rPr>
        <w:t>Відомості про учасника (згідно додатку 5 тендерної документації).</w:t>
      </w:r>
    </w:p>
    <w:p w14:paraId="7A380993" w14:textId="554C81D8" w:rsidR="00215179" w:rsidRPr="00215179" w:rsidRDefault="00215179" w:rsidP="00215179">
      <w:pPr>
        <w:spacing w:line="240" w:lineRule="auto"/>
        <w:ind w:left="-567" w:firstLine="283"/>
        <w:jc w:val="both"/>
        <w:rPr>
          <w:sz w:val="27"/>
          <w:szCs w:val="27"/>
        </w:rPr>
      </w:pPr>
      <w:r w:rsidRPr="00215179">
        <w:rPr>
          <w:sz w:val="27"/>
          <w:szCs w:val="27"/>
        </w:rPr>
        <w:t xml:space="preserve">Лист-згода з умовами </w:t>
      </w:r>
      <w:proofErr w:type="spellStart"/>
      <w:r w:rsidRPr="00215179">
        <w:rPr>
          <w:sz w:val="27"/>
          <w:szCs w:val="27"/>
        </w:rPr>
        <w:t>проекту</w:t>
      </w:r>
      <w:proofErr w:type="spellEnd"/>
      <w:r w:rsidRPr="00215179">
        <w:rPr>
          <w:sz w:val="27"/>
          <w:szCs w:val="27"/>
        </w:rPr>
        <w:t xml:space="preserve"> договору (згідно додатку 6 тендерної документації);</w:t>
      </w:r>
    </w:p>
    <w:p w14:paraId="52D433E1" w14:textId="731E17B4" w:rsidR="00215179" w:rsidRPr="00215179" w:rsidRDefault="00215179" w:rsidP="00215179">
      <w:pPr>
        <w:spacing w:line="240" w:lineRule="auto"/>
        <w:ind w:left="-567" w:firstLine="283"/>
        <w:jc w:val="both"/>
        <w:rPr>
          <w:sz w:val="27"/>
          <w:szCs w:val="27"/>
        </w:rPr>
      </w:pPr>
      <w:r w:rsidRPr="00215179">
        <w:rPr>
          <w:sz w:val="27"/>
          <w:szCs w:val="27"/>
        </w:rPr>
        <w:t>Документ про створення об’єднання учасників - якщо пропозиція подається об’єднанням учасників.</w:t>
      </w:r>
    </w:p>
    <w:p w14:paraId="31D712BC" w14:textId="6480453B" w:rsidR="00215179" w:rsidRPr="00215179" w:rsidRDefault="00215179" w:rsidP="00215179">
      <w:pPr>
        <w:spacing w:line="240" w:lineRule="auto"/>
        <w:ind w:left="-567" w:firstLine="283"/>
        <w:jc w:val="both"/>
        <w:rPr>
          <w:sz w:val="27"/>
          <w:szCs w:val="27"/>
        </w:rPr>
      </w:pPr>
      <w:r w:rsidRPr="00215179">
        <w:rPr>
          <w:sz w:val="27"/>
          <w:szCs w:val="27"/>
        </w:rPr>
        <w:lastRenderedPageBreak/>
        <w:t>Ліцензія або документ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14:paraId="22F68187" w14:textId="77777777" w:rsidR="00215179" w:rsidRPr="00215179" w:rsidRDefault="00215179" w:rsidP="00215179">
      <w:pPr>
        <w:spacing w:line="240" w:lineRule="auto"/>
        <w:ind w:left="-567" w:firstLine="283"/>
        <w:jc w:val="both"/>
        <w:rPr>
          <w:sz w:val="27"/>
          <w:szCs w:val="27"/>
        </w:rPr>
      </w:pPr>
      <w:r w:rsidRPr="00215179">
        <w:rPr>
          <w:sz w:val="27"/>
          <w:szCs w:val="27"/>
        </w:rPr>
        <w:t>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p w14:paraId="65D3D99A" w14:textId="27ECD78E" w:rsidR="00215179" w:rsidRPr="00215179" w:rsidRDefault="00215179" w:rsidP="00215179">
      <w:pPr>
        <w:spacing w:line="240" w:lineRule="auto"/>
        <w:ind w:left="-567" w:firstLine="283"/>
        <w:jc w:val="both"/>
        <w:rPr>
          <w:sz w:val="27"/>
          <w:szCs w:val="27"/>
        </w:rPr>
      </w:pPr>
      <w:r w:rsidRPr="00215179">
        <w:rPr>
          <w:sz w:val="27"/>
          <w:szCs w:val="27"/>
        </w:rPr>
        <w:t>Довідка* про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із зазначенням повного найменування субпідрядників/співвиконавців, місцезнаходження та їх коду ЄДРПОУ.</w:t>
      </w:r>
    </w:p>
    <w:p w14:paraId="0B4FE6AE" w14:textId="77777777" w:rsidR="00215179" w:rsidRPr="00215179" w:rsidRDefault="00215179" w:rsidP="00215179">
      <w:pPr>
        <w:spacing w:line="240" w:lineRule="auto"/>
        <w:ind w:left="-567" w:firstLine="283"/>
        <w:jc w:val="both"/>
        <w:rPr>
          <w:i/>
          <w:iCs/>
          <w:sz w:val="27"/>
          <w:szCs w:val="27"/>
        </w:rPr>
      </w:pPr>
      <w:r w:rsidRPr="00215179">
        <w:rPr>
          <w:i/>
          <w:iCs/>
          <w:sz w:val="27"/>
          <w:szCs w:val="27"/>
        </w:rPr>
        <w:t>*Ненадання цієї довідки у складі тендерної пропозиції означає відсутність в учасника відповідного наміру та не вважається невідповідністю умовам тендерної документації.</w:t>
      </w:r>
    </w:p>
    <w:p w14:paraId="13514CBF" w14:textId="44162460" w:rsidR="00215179" w:rsidRPr="00215179" w:rsidRDefault="00215179" w:rsidP="00215179">
      <w:pPr>
        <w:spacing w:line="240" w:lineRule="auto"/>
        <w:ind w:left="-567" w:firstLine="283"/>
        <w:jc w:val="both"/>
        <w:rPr>
          <w:sz w:val="27"/>
          <w:szCs w:val="27"/>
        </w:rPr>
      </w:pPr>
      <w:r w:rsidRPr="00215179">
        <w:rPr>
          <w:sz w:val="27"/>
          <w:szCs w:val="27"/>
        </w:rPr>
        <w:t>Статут (в новій редакції з усіма доповненнями та змінами) або іншого установчого документа (у разі, якщо учасник діє на підставі модельного статуту довідка довільної форми).</w:t>
      </w:r>
    </w:p>
    <w:p w14:paraId="30FA0352" w14:textId="207E3CC9" w:rsidR="00215179" w:rsidRPr="00215179" w:rsidRDefault="00215179" w:rsidP="00215179">
      <w:pPr>
        <w:spacing w:line="240" w:lineRule="auto"/>
        <w:ind w:left="-567" w:firstLine="283"/>
        <w:jc w:val="both"/>
        <w:rPr>
          <w:sz w:val="27"/>
          <w:szCs w:val="27"/>
        </w:rPr>
      </w:pPr>
      <w:r w:rsidRPr="00215179">
        <w:rPr>
          <w:sz w:val="27"/>
          <w:szCs w:val="27"/>
        </w:rPr>
        <w:t>Довідка про присвоєння ідентифікаційного коду (для ФОП, ПП, СПД); Документ, що посвідчує особу (для ФОП, ПП, СПД);</w:t>
      </w:r>
    </w:p>
    <w:p w14:paraId="025E22A8" w14:textId="25EEB08E" w:rsidR="00215179" w:rsidRPr="00215179" w:rsidRDefault="00215179" w:rsidP="00215179">
      <w:pPr>
        <w:spacing w:line="240" w:lineRule="auto"/>
        <w:ind w:left="-567" w:firstLine="283"/>
        <w:jc w:val="both"/>
        <w:rPr>
          <w:sz w:val="27"/>
          <w:szCs w:val="27"/>
        </w:rPr>
      </w:pPr>
      <w:r w:rsidRPr="00215179">
        <w:rPr>
          <w:sz w:val="27"/>
          <w:szCs w:val="27"/>
        </w:rPr>
        <w:t>- свідоцтво або витяг з реєстру платників ПДВ (якщо Учасник є платником ПДВ) або платника єдиного податку (якщо Учасник є платником єдиного податку).</w:t>
      </w:r>
    </w:p>
    <w:p w14:paraId="70642D8B" w14:textId="553D713D" w:rsidR="00215179" w:rsidRPr="00215179" w:rsidRDefault="00215179" w:rsidP="00215179">
      <w:pPr>
        <w:spacing w:line="240" w:lineRule="auto"/>
        <w:ind w:left="-567" w:firstLine="283"/>
        <w:jc w:val="both"/>
        <w:rPr>
          <w:sz w:val="27"/>
          <w:szCs w:val="27"/>
        </w:rPr>
      </w:pPr>
      <w:r w:rsidRPr="00215179">
        <w:rPr>
          <w:sz w:val="27"/>
          <w:szCs w:val="27"/>
        </w:rPr>
        <w:t>заповнена форма «ЦІНОВА ПРОПОЗИЦІЯ» (відповідно до Додатку 7 до тендерної документації).</w:t>
      </w:r>
    </w:p>
    <w:p w14:paraId="796AEE59" w14:textId="312E0CF3" w:rsidR="00215179" w:rsidRPr="00215179" w:rsidRDefault="00215179" w:rsidP="00215179">
      <w:pPr>
        <w:spacing w:line="240" w:lineRule="auto"/>
        <w:ind w:left="-567" w:firstLine="283"/>
        <w:jc w:val="both"/>
        <w:rPr>
          <w:sz w:val="27"/>
          <w:szCs w:val="27"/>
        </w:rPr>
      </w:pPr>
      <w:r w:rsidRPr="00215179">
        <w:rPr>
          <w:sz w:val="27"/>
          <w:szCs w:val="27"/>
        </w:rPr>
        <w:t xml:space="preserve">У випадку, коли інформація про кінцевого </w:t>
      </w:r>
      <w:proofErr w:type="spellStart"/>
      <w:r w:rsidRPr="00215179">
        <w:rPr>
          <w:sz w:val="27"/>
          <w:szCs w:val="27"/>
        </w:rPr>
        <w:t>бенефіціарного</w:t>
      </w:r>
      <w:proofErr w:type="spellEnd"/>
      <w:r w:rsidRPr="00215179">
        <w:rPr>
          <w:sz w:val="27"/>
          <w:szCs w:val="27"/>
        </w:rPr>
        <w:t xml:space="preserve"> власника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 то учасник у складі пропозиції надає довідку в довільній формі про кінцевих бенефіціарних власників учасника процедури закупівлі, що є резидентом: прізвище, ім’я, по батькові (за наявності), країна громадянства (підданства). У разі надання даної інформації нерезидентом, коли кінцевий </w:t>
      </w:r>
      <w:proofErr w:type="spellStart"/>
      <w:r w:rsidRPr="00215179">
        <w:rPr>
          <w:sz w:val="27"/>
          <w:szCs w:val="27"/>
        </w:rPr>
        <w:t>бенефіціарний</w:t>
      </w:r>
      <w:proofErr w:type="spellEnd"/>
      <w:r w:rsidRPr="00215179">
        <w:rPr>
          <w:sz w:val="27"/>
          <w:szCs w:val="27"/>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215179">
        <w:rPr>
          <w:sz w:val="27"/>
          <w:szCs w:val="27"/>
        </w:rPr>
        <w:t>бенефіціарним</w:t>
      </w:r>
      <w:proofErr w:type="spellEnd"/>
      <w:r w:rsidRPr="00215179">
        <w:rPr>
          <w:sz w:val="27"/>
          <w:szCs w:val="27"/>
        </w:rPr>
        <w:t xml:space="preserve"> власником, характер та міра (рівень, ступінь, частка) </w:t>
      </w:r>
      <w:proofErr w:type="spellStart"/>
      <w:r w:rsidRPr="00215179">
        <w:rPr>
          <w:sz w:val="27"/>
          <w:szCs w:val="27"/>
        </w:rPr>
        <w:t>бенефіціарного</w:t>
      </w:r>
      <w:proofErr w:type="spellEnd"/>
      <w:r w:rsidRPr="00215179">
        <w:rPr>
          <w:sz w:val="27"/>
          <w:szCs w:val="27"/>
        </w:rPr>
        <w:t xml:space="preserve"> володіння (вигоди, інтересу, впливу).</w:t>
      </w:r>
    </w:p>
    <w:p w14:paraId="18517FE3" w14:textId="2988C81E" w:rsidR="00234296" w:rsidRPr="00A66637" w:rsidRDefault="004F3DDA" w:rsidP="00BA622B">
      <w:pPr>
        <w:spacing w:line="240" w:lineRule="auto"/>
        <w:ind w:left="-448" w:firstLine="22"/>
        <w:jc w:val="both"/>
        <w:rPr>
          <w:sz w:val="27"/>
          <w:szCs w:val="27"/>
        </w:rPr>
      </w:pPr>
      <w:r w:rsidRPr="00A66637">
        <w:rPr>
          <w:b/>
          <w:bCs/>
          <w:sz w:val="27"/>
          <w:szCs w:val="27"/>
        </w:rPr>
        <w:t xml:space="preserve">Строк </w:t>
      </w:r>
      <w:r w:rsidR="00215179">
        <w:rPr>
          <w:b/>
          <w:bCs/>
          <w:sz w:val="27"/>
          <w:szCs w:val="27"/>
        </w:rPr>
        <w:t>надання послуг</w:t>
      </w:r>
      <w:r w:rsidRPr="00A66637">
        <w:rPr>
          <w:sz w:val="27"/>
          <w:szCs w:val="27"/>
        </w:rPr>
        <w:t xml:space="preserve">: </w:t>
      </w:r>
      <w:r w:rsidR="00EC2B97" w:rsidRPr="00A66637">
        <w:rPr>
          <w:sz w:val="27"/>
          <w:szCs w:val="27"/>
        </w:rPr>
        <w:t>до 31.12.2026 р.</w:t>
      </w:r>
    </w:p>
    <w:p w14:paraId="676A50CA" w14:textId="73ACC2ED" w:rsidR="00EC2B97" w:rsidRPr="00A66637" w:rsidRDefault="004F3DDA" w:rsidP="00EC2B97">
      <w:pPr>
        <w:spacing w:line="240" w:lineRule="auto"/>
        <w:ind w:left="-448" w:firstLine="22"/>
        <w:jc w:val="both"/>
        <w:rPr>
          <w:sz w:val="27"/>
          <w:szCs w:val="27"/>
        </w:rPr>
      </w:pPr>
      <w:r w:rsidRPr="00A66637">
        <w:rPr>
          <w:b/>
          <w:bCs/>
          <w:sz w:val="27"/>
          <w:szCs w:val="27"/>
        </w:rPr>
        <w:t xml:space="preserve">Кількість </w:t>
      </w:r>
      <w:r w:rsidR="007C1FBA" w:rsidRPr="00A66637">
        <w:rPr>
          <w:b/>
          <w:bCs/>
          <w:sz w:val="27"/>
          <w:szCs w:val="27"/>
        </w:rPr>
        <w:t>товару</w:t>
      </w:r>
      <w:r w:rsidR="007D50C4" w:rsidRPr="00A66637">
        <w:rPr>
          <w:sz w:val="27"/>
          <w:szCs w:val="27"/>
        </w:rPr>
        <w:t xml:space="preserve">: </w:t>
      </w:r>
      <w:r w:rsidR="00076AA0" w:rsidRPr="00076AA0">
        <w:rPr>
          <w:sz w:val="27"/>
          <w:szCs w:val="27"/>
        </w:rPr>
        <w:t>1 468,1</w:t>
      </w:r>
      <w:r w:rsidR="00076AA0">
        <w:rPr>
          <w:sz w:val="27"/>
          <w:szCs w:val="27"/>
        </w:rPr>
        <w:t>0 норм/год</w:t>
      </w:r>
    </w:p>
    <w:p w14:paraId="08649D8A" w14:textId="77777777" w:rsidR="00FD7BF5" w:rsidRPr="004F3DDA" w:rsidRDefault="00FD7BF5" w:rsidP="007B7164">
      <w:pPr>
        <w:spacing w:line="240" w:lineRule="auto"/>
        <w:ind w:left="-448" w:firstLine="22"/>
        <w:jc w:val="both"/>
      </w:pPr>
    </w:p>
    <w:sectPr w:rsidR="00FD7BF5" w:rsidRPr="004F3D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erif">
    <w:altName w:val="Times New Roman"/>
    <w:charset w:val="01"/>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BF"/>
    <w:multiLevelType w:val="hybridMultilevel"/>
    <w:tmpl w:val="140688CA"/>
    <w:lvl w:ilvl="0" w:tplc="30D814D4">
      <w:start w:val="1"/>
      <w:numFmt w:val="decimal"/>
      <w:lvlText w:val="%1."/>
      <w:lvlJc w:val="left"/>
      <w:pPr>
        <w:ind w:left="720" w:hanging="360"/>
      </w:pPr>
      <w:rPr>
        <w:rFonts w:hint="default"/>
        <w:b/>
        <w:bCs w:val="0"/>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E8E7509"/>
    <w:multiLevelType w:val="hybridMultilevel"/>
    <w:tmpl w:val="38CAFEFC"/>
    <w:lvl w:ilvl="0" w:tplc="0422000F">
      <w:start w:val="1"/>
      <w:numFmt w:val="decimal"/>
      <w:lvlText w:val="%1."/>
      <w:lvlJc w:val="left"/>
      <w:pPr>
        <w:ind w:left="795" w:hanging="360"/>
      </w:p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2" w15:restartNumberingAfterBreak="0">
    <w:nsid w:val="27663AF0"/>
    <w:multiLevelType w:val="hybridMultilevel"/>
    <w:tmpl w:val="912A8B20"/>
    <w:lvl w:ilvl="0" w:tplc="917CE1F4">
      <w:start w:val="1"/>
      <w:numFmt w:val="decimal"/>
      <w:lvlText w:val="7%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55F2ED2"/>
    <w:multiLevelType w:val="hybridMultilevel"/>
    <w:tmpl w:val="C2527BE0"/>
    <w:lvl w:ilvl="0" w:tplc="933A7A72">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4" w15:restartNumberingAfterBreak="0">
    <w:nsid w:val="65D978E8"/>
    <w:multiLevelType w:val="hybridMultilevel"/>
    <w:tmpl w:val="DEC019CA"/>
    <w:lvl w:ilvl="0" w:tplc="0422000F">
      <w:start w:val="1"/>
      <w:numFmt w:val="decimal"/>
      <w:lvlText w:val="%1."/>
      <w:lvlJc w:val="left"/>
      <w:pPr>
        <w:ind w:left="436" w:hanging="360"/>
      </w:pPr>
    </w:lvl>
    <w:lvl w:ilvl="1" w:tplc="04220019" w:tentative="1">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num w:numId="1" w16cid:durableId="1981693463">
    <w:abstractNumId w:val="3"/>
  </w:num>
  <w:num w:numId="2" w16cid:durableId="22444956">
    <w:abstractNumId w:val="4"/>
  </w:num>
  <w:num w:numId="3" w16cid:durableId="2033802406">
    <w:abstractNumId w:val="2"/>
  </w:num>
  <w:num w:numId="4" w16cid:durableId="1766999952">
    <w:abstractNumId w:val="1"/>
  </w:num>
  <w:num w:numId="5" w16cid:durableId="32050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A7"/>
    <w:rsid w:val="00050C88"/>
    <w:rsid w:val="00076AA0"/>
    <w:rsid w:val="000B3BA6"/>
    <w:rsid w:val="00144E1F"/>
    <w:rsid w:val="00170158"/>
    <w:rsid w:val="001A7BAF"/>
    <w:rsid w:val="00215179"/>
    <w:rsid w:val="00215210"/>
    <w:rsid w:val="00231C5A"/>
    <w:rsid w:val="00234296"/>
    <w:rsid w:val="002B762E"/>
    <w:rsid w:val="002C35E9"/>
    <w:rsid w:val="003062D9"/>
    <w:rsid w:val="003179BE"/>
    <w:rsid w:val="0033467D"/>
    <w:rsid w:val="003429C7"/>
    <w:rsid w:val="003B4870"/>
    <w:rsid w:val="003C7219"/>
    <w:rsid w:val="003D4706"/>
    <w:rsid w:val="00467D5C"/>
    <w:rsid w:val="004A4A82"/>
    <w:rsid w:val="004A6774"/>
    <w:rsid w:val="004F3DDA"/>
    <w:rsid w:val="00515C2F"/>
    <w:rsid w:val="00522AB2"/>
    <w:rsid w:val="005407BF"/>
    <w:rsid w:val="005430FC"/>
    <w:rsid w:val="00627BDB"/>
    <w:rsid w:val="00635989"/>
    <w:rsid w:val="006A27A4"/>
    <w:rsid w:val="00717213"/>
    <w:rsid w:val="007B35EA"/>
    <w:rsid w:val="007B7164"/>
    <w:rsid w:val="007C1FBA"/>
    <w:rsid w:val="007D50C4"/>
    <w:rsid w:val="00843646"/>
    <w:rsid w:val="008566E7"/>
    <w:rsid w:val="008A0F9D"/>
    <w:rsid w:val="008A2606"/>
    <w:rsid w:val="008A5C46"/>
    <w:rsid w:val="00916AE0"/>
    <w:rsid w:val="009A67A5"/>
    <w:rsid w:val="009B47A7"/>
    <w:rsid w:val="00A54AC8"/>
    <w:rsid w:val="00A63119"/>
    <w:rsid w:val="00A66637"/>
    <w:rsid w:val="00A73E43"/>
    <w:rsid w:val="00AC4F24"/>
    <w:rsid w:val="00AD469C"/>
    <w:rsid w:val="00AE6EB9"/>
    <w:rsid w:val="00AF48FA"/>
    <w:rsid w:val="00BA622B"/>
    <w:rsid w:val="00C52B61"/>
    <w:rsid w:val="00C54717"/>
    <w:rsid w:val="00C67D9A"/>
    <w:rsid w:val="00C9663C"/>
    <w:rsid w:val="00CA5C6C"/>
    <w:rsid w:val="00D57D15"/>
    <w:rsid w:val="00DA717E"/>
    <w:rsid w:val="00DC4E46"/>
    <w:rsid w:val="00E247C0"/>
    <w:rsid w:val="00E65F59"/>
    <w:rsid w:val="00E70520"/>
    <w:rsid w:val="00EC2B97"/>
    <w:rsid w:val="00F17689"/>
    <w:rsid w:val="00F50A2C"/>
    <w:rsid w:val="00F66B01"/>
    <w:rsid w:val="00FA178C"/>
    <w:rsid w:val="00FD7B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FDB9"/>
  <w15:chartTrackingRefBased/>
  <w15:docId w15:val="{580DF4C4-AE4D-4DB5-BDF0-CCACC22B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5E9"/>
    <w:rPr>
      <w:rFonts w:ascii="Times New Roman" w:hAnsi="Times New Roman"/>
      <w:sz w:val="28"/>
    </w:rPr>
  </w:style>
  <w:style w:type="paragraph" w:styleId="1">
    <w:name w:val="heading 1"/>
    <w:basedOn w:val="a"/>
    <w:next w:val="a"/>
    <w:link w:val="10"/>
    <w:uiPriority w:val="9"/>
    <w:qFormat/>
    <w:rsid w:val="009B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B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47A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9B47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9B47A7"/>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9B47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B47A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B47A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B47A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47A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B47A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47A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47A7"/>
    <w:rPr>
      <w:rFonts w:eastAsiaTheme="majorEastAsia" w:cstheme="majorBidi"/>
      <w:i/>
      <w:iCs/>
      <w:color w:val="0F4761" w:themeColor="accent1" w:themeShade="BF"/>
      <w:sz w:val="28"/>
    </w:rPr>
  </w:style>
  <w:style w:type="character" w:customStyle="1" w:styleId="50">
    <w:name w:val="Заголовок 5 Знак"/>
    <w:basedOn w:val="a0"/>
    <w:link w:val="5"/>
    <w:uiPriority w:val="9"/>
    <w:semiHidden/>
    <w:rsid w:val="009B47A7"/>
    <w:rPr>
      <w:rFonts w:eastAsiaTheme="majorEastAsia" w:cstheme="majorBidi"/>
      <w:color w:val="0F4761" w:themeColor="accent1" w:themeShade="BF"/>
      <w:sz w:val="28"/>
    </w:rPr>
  </w:style>
  <w:style w:type="character" w:customStyle="1" w:styleId="60">
    <w:name w:val="Заголовок 6 Знак"/>
    <w:basedOn w:val="a0"/>
    <w:link w:val="6"/>
    <w:uiPriority w:val="9"/>
    <w:semiHidden/>
    <w:rsid w:val="009B47A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B47A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B47A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B47A7"/>
    <w:rPr>
      <w:rFonts w:eastAsiaTheme="majorEastAsia" w:cstheme="majorBidi"/>
      <w:color w:val="272727" w:themeColor="text1" w:themeTint="D8"/>
      <w:sz w:val="28"/>
    </w:rPr>
  </w:style>
  <w:style w:type="paragraph" w:styleId="a3">
    <w:name w:val="Title"/>
    <w:basedOn w:val="a"/>
    <w:next w:val="a"/>
    <w:link w:val="a4"/>
    <w:uiPriority w:val="10"/>
    <w:qFormat/>
    <w:rsid w:val="009B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4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7A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9B47A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47A7"/>
    <w:pPr>
      <w:spacing w:before="160"/>
      <w:jc w:val="center"/>
    </w:pPr>
    <w:rPr>
      <w:i/>
      <w:iCs/>
      <w:color w:val="404040" w:themeColor="text1" w:themeTint="BF"/>
    </w:rPr>
  </w:style>
  <w:style w:type="character" w:customStyle="1" w:styleId="a8">
    <w:name w:val="Цитата Знак"/>
    <w:basedOn w:val="a0"/>
    <w:link w:val="a7"/>
    <w:uiPriority w:val="29"/>
    <w:rsid w:val="009B47A7"/>
    <w:rPr>
      <w:rFonts w:ascii="Times New Roman" w:hAnsi="Times New Roman"/>
      <w:i/>
      <w:iCs/>
      <w:color w:val="404040" w:themeColor="text1" w:themeTint="BF"/>
      <w:sz w:val="28"/>
    </w:rPr>
  </w:style>
  <w:style w:type="paragraph" w:styleId="a9">
    <w:name w:val="List Paragraph"/>
    <w:basedOn w:val="a"/>
    <w:uiPriority w:val="34"/>
    <w:qFormat/>
    <w:rsid w:val="009B47A7"/>
    <w:pPr>
      <w:ind w:left="720"/>
      <w:contextualSpacing/>
    </w:pPr>
  </w:style>
  <w:style w:type="character" w:styleId="aa">
    <w:name w:val="Intense Emphasis"/>
    <w:basedOn w:val="a0"/>
    <w:uiPriority w:val="21"/>
    <w:qFormat/>
    <w:rsid w:val="009B47A7"/>
    <w:rPr>
      <w:i/>
      <w:iCs/>
      <w:color w:val="0F4761" w:themeColor="accent1" w:themeShade="BF"/>
    </w:rPr>
  </w:style>
  <w:style w:type="paragraph" w:styleId="ab">
    <w:name w:val="Intense Quote"/>
    <w:basedOn w:val="a"/>
    <w:next w:val="a"/>
    <w:link w:val="ac"/>
    <w:uiPriority w:val="30"/>
    <w:qFormat/>
    <w:rsid w:val="009B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47A7"/>
    <w:rPr>
      <w:rFonts w:ascii="Times New Roman" w:hAnsi="Times New Roman"/>
      <w:i/>
      <w:iCs/>
      <w:color w:val="0F4761" w:themeColor="accent1" w:themeShade="BF"/>
      <w:sz w:val="28"/>
    </w:rPr>
  </w:style>
  <w:style w:type="character" w:styleId="ad">
    <w:name w:val="Intense Reference"/>
    <w:basedOn w:val="a0"/>
    <w:uiPriority w:val="32"/>
    <w:qFormat/>
    <w:rsid w:val="009B47A7"/>
    <w:rPr>
      <w:b/>
      <w:bCs/>
      <w:smallCaps/>
      <w:color w:val="0F4761" w:themeColor="accent1" w:themeShade="BF"/>
      <w:spacing w:val="5"/>
    </w:rPr>
  </w:style>
  <w:style w:type="character" w:styleId="ae">
    <w:name w:val="Hyperlink"/>
    <w:basedOn w:val="a0"/>
    <w:uiPriority w:val="99"/>
    <w:unhideWhenUsed/>
    <w:rsid w:val="003D4706"/>
    <w:rPr>
      <w:color w:val="467886" w:themeColor="hyperlink"/>
      <w:u w:val="single"/>
    </w:rPr>
  </w:style>
  <w:style w:type="character" w:styleId="af">
    <w:name w:val="Unresolved Mention"/>
    <w:basedOn w:val="a0"/>
    <w:uiPriority w:val="99"/>
    <w:semiHidden/>
    <w:unhideWhenUsed/>
    <w:rsid w:val="003D4706"/>
    <w:rPr>
      <w:color w:val="605E5C"/>
      <w:shd w:val="clear" w:color="auto" w:fill="E1DFDD"/>
    </w:rPr>
  </w:style>
  <w:style w:type="table" w:customStyle="1" w:styleId="11">
    <w:name w:val="Сетка таблицы1"/>
    <w:basedOn w:val="a1"/>
    <w:next w:val="af0"/>
    <w:uiPriority w:val="39"/>
    <w:rsid w:val="00A66637"/>
    <w:pPr>
      <w:spacing w:after="0" w:line="240" w:lineRule="auto"/>
    </w:pPr>
    <w:rPr>
      <w:rFonts w:ascii="Liberation Serif" w:eastAsia="Droid Sans Fallback" w:hAnsi="Liberation Serif" w:cs="FreeSans"/>
      <w:kern w:val="0"/>
      <w:lang w:val="ru-RU"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A66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1731</Words>
  <Characters>11945</Characters>
  <Application>Microsoft Office Word</Application>
  <DocSecurity>0</DocSecurity>
  <Lines>306</Lines>
  <Paragraphs>118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Yakunenko</dc:creator>
  <cp:keywords/>
  <dc:description/>
  <cp:lastModifiedBy>Mariia Yakunenko</cp:lastModifiedBy>
  <cp:revision>2</cp:revision>
  <dcterms:created xsi:type="dcterms:W3CDTF">2026-03-04T15:45:00Z</dcterms:created>
  <dcterms:modified xsi:type="dcterms:W3CDTF">2026-03-04T15:45:00Z</dcterms:modified>
</cp:coreProperties>
</file>