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E81FC10" w:rsidR="001D7E98" w:rsidRDefault="00365E5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05BF2">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62AD32F"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B01BA" w:rsidRPr="004B01BA">
        <w:rPr>
          <w:color w:val="2E74B5" w:themeColor="accent1" w:themeShade="BF"/>
          <w:sz w:val="32"/>
          <w:szCs w:val="32"/>
        </w:rPr>
        <w:t>Електромеханічне та супутнє обладнання</w:t>
      </w:r>
      <w:r w:rsidR="005E6E2F" w:rsidRPr="005E6E2F">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2E0DF73A" w:rsidR="00D13BB6" w:rsidRPr="00F623E2" w:rsidRDefault="004B01BA" w:rsidP="006062CA">
            <w:pPr>
              <w:rPr>
                <w:rFonts w:ascii="Times New Roman" w:hAnsi="Times New Roman" w:cs="Times New Roman"/>
                <w:sz w:val="24"/>
                <w:szCs w:val="24"/>
              </w:rPr>
            </w:pPr>
            <w:r w:rsidRPr="004B01BA">
              <w:rPr>
                <w:rFonts w:ascii="Times New Roman" w:hAnsi="Times New Roman" w:cs="Times New Roman"/>
                <w:sz w:val="24"/>
                <w:szCs w:val="24"/>
              </w:rPr>
              <w:t>31720000-9: Електромеханічне обладнання «Електромеханічне та супутнє обладнання»</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6AD5B547"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2E0D6F" w:rsidRPr="002E0D6F">
              <w:rPr>
                <w:rFonts w:ascii="Times New Roman" w:hAnsi="Times New Roman" w:cs="Times New Roman"/>
                <w:color w:val="333333"/>
                <w:sz w:val="24"/>
                <w:szCs w:val="24"/>
                <w:shd w:val="clear" w:color="auto" w:fill="FFFFFF"/>
              </w:rPr>
              <w:t>UA-2025-04-10-007072-a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2B26469" w:rsidR="00D13BB6" w:rsidRPr="00891149" w:rsidRDefault="00972587" w:rsidP="00C13CC0">
            <w:pPr>
              <w:rPr>
                <w:rFonts w:ascii="Times New Roman" w:hAnsi="Times New Roman" w:cs="Times New Roman"/>
                <w:sz w:val="24"/>
                <w:szCs w:val="24"/>
              </w:rPr>
            </w:pPr>
            <w:r w:rsidRPr="00972587">
              <w:rPr>
                <w:rFonts w:ascii="Times New Roman" w:hAnsi="Times New Roman" w:cs="Times New Roman"/>
                <w:sz w:val="24"/>
                <w:szCs w:val="24"/>
                <w:bdr w:val="none" w:sz="0" w:space="0" w:color="auto" w:frame="1"/>
                <w:shd w:val="clear" w:color="auto" w:fill="FFFFFF"/>
              </w:rPr>
              <w:t>1 017 000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E64A27">
        <w:trPr>
          <w:trHeight w:val="524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39DCABBB"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1B50284"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82E7D22"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2A8372DF"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E64A27">
              <w:rPr>
                <w:rFonts w:ascii="Times New Roman" w:hAnsi="Times New Roman" w:cs="Times New Roman"/>
                <w:i/>
                <w:iCs/>
                <w:color w:val="000000"/>
                <w:lang w:eastAsia="uk-UA"/>
              </w:rPr>
              <w:t>Продавець відповідає за якість поставленої продукції.</w:t>
            </w:r>
          </w:p>
          <w:p w14:paraId="0FDA8FAF"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Учасник самост</w:t>
            </w:r>
            <w:bookmarkStart w:id="0" w:name="_GoBack"/>
            <w:bookmarkEnd w:id="0"/>
            <w:r w:rsidRPr="00E64A27">
              <w:rPr>
                <w:rStyle w:val="af"/>
                <w:rFonts w:ascii="Times New Roman" w:hAnsi="Times New Roman" w:cs="Times New Roman"/>
                <w:i w:val="0"/>
                <w:iCs w:val="0"/>
                <w:color w:val="000000"/>
              </w:rPr>
              <w:t>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EC6E8AB" w14:textId="77777777" w:rsidR="00F41757" w:rsidRPr="00E64A27" w:rsidRDefault="00F41757" w:rsidP="00E64A27">
            <w:pPr>
              <w:numPr>
                <w:ilvl w:val="0"/>
                <w:numId w:val="2"/>
              </w:numPr>
              <w:ind w:left="0" w:firstLine="426"/>
              <w:jc w:val="both"/>
              <w:rPr>
                <w:rStyle w:val="af"/>
                <w:rFonts w:ascii="Times New Roman" w:hAnsi="Times New Roman" w:cs="Times New Roman"/>
                <w:i w:val="0"/>
                <w:iCs w:val="0"/>
                <w:color w:val="000000"/>
              </w:rPr>
            </w:pPr>
            <w:r w:rsidRPr="00E64A27">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69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77"/>
              <w:gridCol w:w="4110"/>
              <w:gridCol w:w="983"/>
            </w:tblGrid>
            <w:tr w:rsidR="00F41757" w:rsidRPr="00E64A27" w14:paraId="5B0BB593" w14:textId="77777777" w:rsidTr="00E64A27">
              <w:trPr>
                <w:trHeight w:val="20"/>
              </w:trPr>
              <w:tc>
                <w:tcPr>
                  <w:tcW w:w="1877" w:type="dxa"/>
                  <w:shd w:val="clear" w:color="auto" w:fill="FFFFFF"/>
                  <w:vAlign w:val="center"/>
                </w:tcPr>
                <w:p w14:paraId="40BFFA97" w14:textId="77777777" w:rsidR="00F41757" w:rsidRPr="00E64A27" w:rsidRDefault="00F41757" w:rsidP="00E64A27">
                  <w:pPr>
                    <w:pStyle w:val="aa"/>
                    <w:ind w:firstLine="0"/>
                    <w:jc w:val="center"/>
                    <w:rPr>
                      <w:b/>
                      <w:bCs/>
                      <w:sz w:val="22"/>
                    </w:rPr>
                  </w:pPr>
                  <w:r w:rsidRPr="00E64A27">
                    <w:rPr>
                      <w:b/>
                      <w:bCs/>
                      <w:sz w:val="22"/>
                    </w:rPr>
                    <w:t>Назва товару</w:t>
                  </w:r>
                </w:p>
              </w:tc>
              <w:tc>
                <w:tcPr>
                  <w:tcW w:w="4110" w:type="dxa"/>
                  <w:shd w:val="clear" w:color="auto" w:fill="FFFFFF"/>
                  <w:tcMar>
                    <w:top w:w="180" w:type="dxa"/>
                    <w:left w:w="240" w:type="dxa"/>
                    <w:bottom w:w="180" w:type="dxa"/>
                    <w:right w:w="240" w:type="dxa"/>
                  </w:tcMar>
                  <w:vAlign w:val="center"/>
                </w:tcPr>
                <w:p w14:paraId="1FFD5863" w14:textId="77777777" w:rsidR="00F41757" w:rsidRPr="00E64A27" w:rsidRDefault="00F41757" w:rsidP="00E64A27">
                  <w:pPr>
                    <w:pStyle w:val="aa"/>
                    <w:jc w:val="center"/>
                    <w:rPr>
                      <w:sz w:val="22"/>
                    </w:rPr>
                  </w:pPr>
                  <w:r w:rsidRPr="00E64A27">
                    <w:rPr>
                      <w:b/>
                      <w:sz w:val="22"/>
                    </w:rPr>
                    <w:t>Технічні вимоги до предмету закупівлі</w:t>
                  </w:r>
                </w:p>
              </w:tc>
              <w:tc>
                <w:tcPr>
                  <w:tcW w:w="983" w:type="dxa"/>
                  <w:shd w:val="clear" w:color="auto" w:fill="FFFFFF"/>
                  <w:vAlign w:val="center"/>
                </w:tcPr>
                <w:p w14:paraId="55348629" w14:textId="77777777" w:rsidR="00F41757" w:rsidRPr="00E64A27" w:rsidRDefault="00F41757" w:rsidP="00E64A27">
                  <w:pPr>
                    <w:pStyle w:val="12"/>
                    <w:spacing w:line="240" w:lineRule="auto"/>
                    <w:ind w:hanging="6"/>
                    <w:jc w:val="center"/>
                    <w:rPr>
                      <w:rFonts w:ascii="Times New Roman" w:hAnsi="Times New Roman" w:cs="Times New Roman"/>
                      <w:b/>
                    </w:rPr>
                  </w:pPr>
                  <w:r w:rsidRPr="00E64A27">
                    <w:rPr>
                      <w:rFonts w:ascii="Times New Roman" w:hAnsi="Times New Roman" w:cs="Times New Roman"/>
                      <w:b/>
                    </w:rPr>
                    <w:t>К -сть</w:t>
                  </w:r>
                </w:p>
              </w:tc>
            </w:tr>
            <w:tr w:rsidR="00F41757" w:rsidRPr="00E64A27" w14:paraId="761BFB76" w14:textId="77777777" w:rsidTr="00E64A27">
              <w:trPr>
                <w:trHeight w:val="1510"/>
              </w:trPr>
              <w:tc>
                <w:tcPr>
                  <w:tcW w:w="1877" w:type="dxa"/>
                  <w:shd w:val="clear" w:color="auto" w:fill="FFFFFF"/>
                  <w:vAlign w:val="center"/>
                </w:tcPr>
                <w:p w14:paraId="6B41AAB5" w14:textId="77777777" w:rsidR="00F41757" w:rsidRPr="00E64A27" w:rsidRDefault="00F41757" w:rsidP="00E64A27">
                  <w:pPr>
                    <w:pStyle w:val="aa"/>
                    <w:ind w:firstLine="0"/>
                    <w:jc w:val="center"/>
                    <w:rPr>
                      <w:b/>
                      <w:bCs/>
                      <w:sz w:val="22"/>
                    </w:rPr>
                  </w:pPr>
                  <w:r w:rsidRPr="00E64A27">
                    <w:rPr>
                      <w:b/>
                      <w:bCs/>
                      <w:sz w:val="22"/>
                    </w:rPr>
                    <w:t>Прилад високочастотного шуму мобільний "РІАС–1М"</w:t>
                  </w:r>
                </w:p>
              </w:tc>
              <w:tc>
                <w:tcPr>
                  <w:tcW w:w="4110" w:type="dxa"/>
                  <w:shd w:val="clear" w:color="auto" w:fill="FFFFFF"/>
                  <w:tcMar>
                    <w:top w:w="180" w:type="dxa"/>
                    <w:left w:w="240" w:type="dxa"/>
                    <w:bottom w:w="180" w:type="dxa"/>
                    <w:right w:w="240" w:type="dxa"/>
                  </w:tcMar>
                  <w:vAlign w:val="center"/>
                </w:tcPr>
                <w:p w14:paraId="513EC795" w14:textId="77777777" w:rsidR="00F41757" w:rsidRPr="00E64A27" w:rsidRDefault="00F41757" w:rsidP="00E64A27">
                  <w:pPr>
                    <w:pStyle w:val="aa"/>
                    <w:ind w:firstLine="0"/>
                    <w:rPr>
                      <w:sz w:val="22"/>
                    </w:rPr>
                  </w:pPr>
                  <w:r w:rsidRPr="00E64A27">
                    <w:rPr>
                      <w:sz w:val="22"/>
                    </w:rPr>
                    <w:t xml:space="preserve">Призначений для створення електромагнітних перешкод в ефірі в діапазоні частот від 180 Гц до 2 ГГц. </w:t>
                  </w:r>
                </w:p>
                <w:p w14:paraId="707B7345" w14:textId="77777777" w:rsidR="00F41757" w:rsidRPr="00E64A27" w:rsidRDefault="00F41757" w:rsidP="00E64A27">
                  <w:pPr>
                    <w:pStyle w:val="aa"/>
                    <w:ind w:firstLine="0"/>
                    <w:rPr>
                      <w:sz w:val="22"/>
                    </w:rPr>
                  </w:pPr>
                  <w:r w:rsidRPr="00E64A27">
                    <w:rPr>
                      <w:sz w:val="22"/>
                    </w:rPr>
                    <w:t xml:space="preserve">До складу приладу входять антени дипольні </w:t>
                  </w:r>
                  <w:proofErr w:type="spellStart"/>
                  <w:r w:rsidRPr="00E64A27">
                    <w:rPr>
                      <w:sz w:val="22"/>
                    </w:rPr>
                    <w:t>телескопичні</w:t>
                  </w:r>
                  <w:proofErr w:type="spellEnd"/>
                  <w:r w:rsidRPr="00E64A27">
                    <w:rPr>
                      <w:sz w:val="22"/>
                    </w:rPr>
                    <w:t xml:space="preserve"> „РІАС–1АД” (3 шт.). </w:t>
                  </w:r>
                </w:p>
                <w:p w14:paraId="4B021D98" w14:textId="77777777" w:rsidR="00F41757" w:rsidRPr="00E64A27" w:rsidRDefault="00F41757" w:rsidP="00E64A27">
                  <w:pPr>
                    <w:pStyle w:val="aa"/>
                    <w:ind w:firstLine="0"/>
                    <w:rPr>
                      <w:sz w:val="22"/>
                    </w:rPr>
                  </w:pPr>
                  <w:r w:rsidRPr="00E64A27">
                    <w:rPr>
                      <w:sz w:val="22"/>
                    </w:rPr>
                    <w:t xml:space="preserve">Коефіцієнт якості шуму - не менше 0,8. </w:t>
                  </w:r>
                </w:p>
                <w:p w14:paraId="2B36300E" w14:textId="77777777" w:rsidR="00F41757" w:rsidRPr="00E64A27" w:rsidRDefault="00F41757" w:rsidP="00E64A27">
                  <w:pPr>
                    <w:pStyle w:val="aa"/>
                    <w:ind w:firstLine="0"/>
                    <w:rPr>
                      <w:sz w:val="22"/>
                    </w:rPr>
                  </w:pPr>
                  <w:r w:rsidRPr="00E64A27">
                    <w:rPr>
                      <w:sz w:val="22"/>
                    </w:rPr>
                    <w:t xml:space="preserve">Коефіцієнт </w:t>
                  </w:r>
                  <w:proofErr w:type="spellStart"/>
                  <w:r w:rsidRPr="00E64A27">
                    <w:rPr>
                      <w:sz w:val="22"/>
                    </w:rPr>
                    <w:t>міжспектральних</w:t>
                  </w:r>
                  <w:proofErr w:type="spellEnd"/>
                  <w:r w:rsidRPr="00E64A27">
                    <w:rPr>
                      <w:sz w:val="22"/>
                    </w:rPr>
                    <w:t xml:space="preserve"> кореляційних </w:t>
                  </w:r>
                  <w:proofErr w:type="spellStart"/>
                  <w:r w:rsidRPr="00E64A27">
                    <w:rPr>
                      <w:sz w:val="22"/>
                    </w:rPr>
                    <w:t>зв’язків</w:t>
                  </w:r>
                  <w:proofErr w:type="spellEnd"/>
                  <w:r w:rsidRPr="00E64A27">
                    <w:rPr>
                      <w:sz w:val="22"/>
                    </w:rPr>
                    <w:t xml:space="preserve"> - не більше 2,0. </w:t>
                  </w:r>
                </w:p>
                <w:p w14:paraId="58DE48C6" w14:textId="77777777" w:rsidR="00F41757" w:rsidRPr="00E64A27" w:rsidRDefault="00F41757" w:rsidP="00E64A27">
                  <w:pPr>
                    <w:pStyle w:val="aa"/>
                    <w:ind w:firstLine="0"/>
                    <w:rPr>
                      <w:sz w:val="22"/>
                    </w:rPr>
                  </w:pPr>
                  <w:r w:rsidRPr="00E64A27">
                    <w:rPr>
                      <w:sz w:val="22"/>
                    </w:rPr>
                    <w:t xml:space="preserve">Нормований рівень спектральної щільності напруженості електричного і магнітного компонентів нормованого електромагнітного поля шуму - не менше 30 дБ. </w:t>
                  </w:r>
                </w:p>
                <w:p w14:paraId="629ABCE7" w14:textId="77777777" w:rsidR="00F41757" w:rsidRPr="00E64A27" w:rsidRDefault="00F41757" w:rsidP="00E64A27">
                  <w:pPr>
                    <w:pStyle w:val="aa"/>
                    <w:ind w:firstLine="0"/>
                    <w:rPr>
                      <w:sz w:val="22"/>
                    </w:rPr>
                  </w:pPr>
                  <w:r w:rsidRPr="00E64A27">
                    <w:rPr>
                      <w:sz w:val="22"/>
                    </w:rPr>
                    <w:t>Максимальне інтегральне значення вихідної потужності - не менше 10 Вт.</w:t>
                  </w:r>
                </w:p>
              </w:tc>
              <w:tc>
                <w:tcPr>
                  <w:tcW w:w="983" w:type="dxa"/>
                  <w:shd w:val="clear" w:color="auto" w:fill="FFFFFF"/>
                  <w:vAlign w:val="center"/>
                </w:tcPr>
                <w:p w14:paraId="654DD61D" w14:textId="77777777" w:rsidR="00F41757" w:rsidRPr="00E64A27" w:rsidRDefault="00F41757" w:rsidP="00E64A27">
                  <w:pPr>
                    <w:pStyle w:val="aa"/>
                    <w:ind w:firstLine="0"/>
                    <w:jc w:val="center"/>
                    <w:rPr>
                      <w:b/>
                      <w:bCs/>
                      <w:sz w:val="22"/>
                    </w:rPr>
                  </w:pPr>
                  <w:r w:rsidRPr="00E64A27">
                    <w:rPr>
                      <w:b/>
                      <w:bCs/>
                      <w:sz w:val="22"/>
                    </w:rPr>
                    <w:t>23</w:t>
                  </w:r>
                </w:p>
              </w:tc>
            </w:tr>
            <w:tr w:rsidR="00F41757" w:rsidRPr="00E64A27" w14:paraId="6ADAF008" w14:textId="77777777" w:rsidTr="00E64A27">
              <w:trPr>
                <w:trHeight w:val="2220"/>
              </w:trPr>
              <w:tc>
                <w:tcPr>
                  <w:tcW w:w="1877" w:type="dxa"/>
                  <w:shd w:val="clear" w:color="auto" w:fill="FFFFFF"/>
                  <w:vAlign w:val="center"/>
                </w:tcPr>
                <w:p w14:paraId="2A8AD169" w14:textId="5039D748" w:rsidR="00F41757" w:rsidRPr="00E64A27" w:rsidRDefault="00E00C1D" w:rsidP="00E64A27">
                  <w:pPr>
                    <w:pStyle w:val="aa"/>
                    <w:ind w:firstLine="0"/>
                    <w:jc w:val="center"/>
                    <w:rPr>
                      <w:b/>
                      <w:bCs/>
                      <w:sz w:val="22"/>
                    </w:rPr>
                  </w:pPr>
                  <w:r w:rsidRPr="00E64A27">
                    <w:rPr>
                      <w:b/>
                      <w:bCs/>
                      <w:sz w:val="22"/>
                    </w:rPr>
                    <w:lastRenderedPageBreak/>
                    <w:t>Прилад</w:t>
                  </w:r>
                  <w:r w:rsidR="00F41757" w:rsidRPr="00E64A27">
                    <w:rPr>
                      <w:b/>
                      <w:bCs/>
                      <w:sz w:val="22"/>
                    </w:rPr>
                    <w:t xml:space="preserve"> акустичного шуму стаціонарний "РІАС–2ГС"</w:t>
                  </w:r>
                </w:p>
              </w:tc>
              <w:tc>
                <w:tcPr>
                  <w:tcW w:w="4110" w:type="dxa"/>
                  <w:shd w:val="clear" w:color="auto" w:fill="FFFFFF"/>
                  <w:tcMar>
                    <w:top w:w="180" w:type="dxa"/>
                    <w:left w:w="240" w:type="dxa"/>
                    <w:bottom w:w="180" w:type="dxa"/>
                    <w:right w:w="240" w:type="dxa"/>
                  </w:tcMar>
                  <w:vAlign w:val="center"/>
                </w:tcPr>
                <w:p w14:paraId="2A906038" w14:textId="77777777" w:rsidR="00F41757" w:rsidRPr="00E64A27" w:rsidRDefault="00F41757" w:rsidP="00E64A27">
                  <w:pPr>
                    <w:pStyle w:val="aa"/>
                    <w:ind w:firstLine="0"/>
                    <w:rPr>
                      <w:sz w:val="22"/>
                    </w:rPr>
                  </w:pPr>
                  <w:r w:rsidRPr="00E64A27">
                    <w:rPr>
                      <w:sz w:val="22"/>
                    </w:rPr>
                    <w:t xml:space="preserve">Призначений для захисту інформації з обмеженим доступом на об’єктах інформаційної діяльності від її витоку акустичними і </w:t>
                  </w:r>
                  <w:proofErr w:type="spellStart"/>
                  <w:r w:rsidRPr="00E64A27">
                    <w:rPr>
                      <w:sz w:val="22"/>
                    </w:rPr>
                    <w:t>віброакустичними</w:t>
                  </w:r>
                  <w:proofErr w:type="spellEnd"/>
                  <w:r w:rsidRPr="00E64A27">
                    <w:rPr>
                      <w:sz w:val="22"/>
                    </w:rPr>
                    <w:t xml:space="preserve"> каналами шляхом генерації шумового сигналу (шумової завади). </w:t>
                  </w:r>
                </w:p>
                <w:p w14:paraId="7FC80B39" w14:textId="77777777" w:rsidR="00F41757" w:rsidRPr="00E64A27" w:rsidRDefault="00F41757" w:rsidP="00E64A27">
                  <w:pPr>
                    <w:pStyle w:val="aa"/>
                    <w:ind w:firstLine="0"/>
                    <w:rPr>
                      <w:sz w:val="22"/>
                    </w:rPr>
                  </w:pPr>
                  <w:r w:rsidRPr="00E64A27">
                    <w:rPr>
                      <w:sz w:val="22"/>
                    </w:rPr>
                    <w:t xml:space="preserve">Тип шумового сигналу, що генерується – аналоговий. </w:t>
                  </w:r>
                </w:p>
                <w:p w14:paraId="38638377" w14:textId="77777777" w:rsidR="00F41757" w:rsidRPr="00E64A27" w:rsidRDefault="00F41757" w:rsidP="00E64A27">
                  <w:pPr>
                    <w:pStyle w:val="aa"/>
                    <w:ind w:firstLine="0"/>
                    <w:rPr>
                      <w:sz w:val="22"/>
                    </w:rPr>
                  </w:pPr>
                  <w:r w:rsidRPr="00E64A27">
                    <w:rPr>
                      <w:sz w:val="22"/>
                    </w:rPr>
                    <w:t>Принцип формування шумового сигналу генератора – шумовий сигнал лавинного пробою р-n переходу малопотужного транзистора зі зворотнім включенням.</w:t>
                  </w:r>
                </w:p>
                <w:p w14:paraId="5CB74C83" w14:textId="77777777" w:rsidR="00F41757" w:rsidRPr="00E64A27" w:rsidRDefault="00F41757" w:rsidP="00E64A27">
                  <w:pPr>
                    <w:pStyle w:val="aa"/>
                    <w:ind w:firstLine="0"/>
                    <w:rPr>
                      <w:sz w:val="22"/>
                    </w:rPr>
                  </w:pPr>
                  <w:r w:rsidRPr="00E64A27">
                    <w:rPr>
                      <w:sz w:val="22"/>
                    </w:rPr>
                    <w:t xml:space="preserve">Генератор забезпечує пригнічення акустичних сигналів в смузі частот від 180 Гц до 5,6 кГц. </w:t>
                  </w:r>
                </w:p>
                <w:p w14:paraId="7EFF2716" w14:textId="77777777" w:rsidR="00F41757" w:rsidRPr="00E64A27" w:rsidRDefault="00F41757" w:rsidP="00E64A27">
                  <w:pPr>
                    <w:pStyle w:val="aa"/>
                    <w:ind w:firstLine="0"/>
                    <w:rPr>
                      <w:sz w:val="22"/>
                    </w:rPr>
                  </w:pPr>
                  <w:r w:rsidRPr="00E64A27">
                    <w:rPr>
                      <w:sz w:val="22"/>
                    </w:rPr>
                    <w:t xml:space="preserve">Вихідна середньоквадратична напруга акустичного (електромагнітного) каналу генератору при мінімальному опорі навантаження 4 </w:t>
                  </w:r>
                  <w:proofErr w:type="spellStart"/>
                  <w:r w:rsidRPr="00E64A27">
                    <w:rPr>
                      <w:sz w:val="22"/>
                    </w:rPr>
                    <w:t>Ом</w:t>
                  </w:r>
                  <w:proofErr w:type="spellEnd"/>
                  <w:r w:rsidRPr="00E64A27">
                    <w:rPr>
                      <w:sz w:val="22"/>
                    </w:rPr>
                    <w:t xml:space="preserve"> – не менше 5 В. </w:t>
                  </w:r>
                </w:p>
                <w:p w14:paraId="1D8B6D9B" w14:textId="77777777" w:rsidR="00F41757" w:rsidRPr="00E64A27" w:rsidRDefault="00F41757" w:rsidP="00E64A27">
                  <w:pPr>
                    <w:pStyle w:val="aa"/>
                    <w:ind w:firstLine="0"/>
                    <w:rPr>
                      <w:sz w:val="22"/>
                    </w:rPr>
                  </w:pPr>
                  <w:r w:rsidRPr="00E64A27">
                    <w:rPr>
                      <w:sz w:val="22"/>
                    </w:rPr>
                    <w:t xml:space="preserve">Вихідна середньоквадратична напруга п’єзоелектричного каналу при сумарній ємності навантаження 0,15 </w:t>
                  </w:r>
                  <w:proofErr w:type="spellStart"/>
                  <w:r w:rsidRPr="00E64A27">
                    <w:rPr>
                      <w:sz w:val="22"/>
                    </w:rPr>
                    <w:t>мкФ</w:t>
                  </w:r>
                  <w:proofErr w:type="spellEnd"/>
                  <w:r w:rsidRPr="00E64A27">
                    <w:rPr>
                      <w:sz w:val="22"/>
                    </w:rPr>
                    <w:t xml:space="preserve"> – не менше 20 В. </w:t>
                  </w:r>
                </w:p>
                <w:p w14:paraId="08F89B78" w14:textId="77777777" w:rsidR="00F41757" w:rsidRPr="00E64A27" w:rsidRDefault="00F41757" w:rsidP="00E64A27">
                  <w:pPr>
                    <w:pStyle w:val="aa"/>
                    <w:ind w:firstLine="0"/>
                    <w:rPr>
                      <w:sz w:val="22"/>
                    </w:rPr>
                  </w:pPr>
                </w:p>
                <w:p w14:paraId="4470FAFF" w14:textId="77777777" w:rsidR="00F41757" w:rsidRPr="00E64A27" w:rsidRDefault="00F41757" w:rsidP="00E64A27">
                  <w:pPr>
                    <w:pStyle w:val="aa"/>
                    <w:ind w:firstLine="0"/>
                    <w:rPr>
                      <w:sz w:val="22"/>
                    </w:rPr>
                  </w:pPr>
                  <w:r w:rsidRPr="00E64A27">
                    <w:rPr>
                      <w:sz w:val="22"/>
                    </w:rPr>
                    <w:t>Діапазон регулювання :</w:t>
                  </w:r>
                </w:p>
                <w:p w14:paraId="3D59EF84" w14:textId="77777777" w:rsidR="00F41757" w:rsidRPr="00E64A27" w:rsidRDefault="00F41757" w:rsidP="00E64A27">
                  <w:pPr>
                    <w:pStyle w:val="aa"/>
                    <w:ind w:firstLine="0"/>
                    <w:rPr>
                      <w:sz w:val="22"/>
                    </w:rPr>
                  </w:pPr>
                  <w:r w:rsidRPr="00E64A27">
                    <w:rPr>
                      <w:sz w:val="22"/>
                    </w:rPr>
                    <w:t xml:space="preserve">- низько- та високочастотних складових шумового сигналу у робочому діапазоні частот – не менше 20 дБ; </w:t>
                  </w:r>
                </w:p>
                <w:p w14:paraId="3E465D7D" w14:textId="77777777" w:rsidR="00F41757" w:rsidRPr="00E64A27" w:rsidRDefault="00F41757" w:rsidP="00E64A27">
                  <w:pPr>
                    <w:pStyle w:val="aa"/>
                    <w:ind w:firstLine="0"/>
                    <w:rPr>
                      <w:sz w:val="22"/>
                    </w:rPr>
                  </w:pPr>
                  <w:r w:rsidRPr="00E64A27">
                    <w:rPr>
                      <w:sz w:val="22"/>
                    </w:rPr>
                    <w:t xml:space="preserve">- сигналів октавних частот - не менше 12дБ. </w:t>
                  </w:r>
                </w:p>
                <w:p w14:paraId="2C7D69A4" w14:textId="77777777" w:rsidR="00F41757" w:rsidRPr="00E64A27" w:rsidRDefault="00F41757" w:rsidP="00E64A27">
                  <w:pPr>
                    <w:pStyle w:val="aa"/>
                    <w:ind w:firstLine="0"/>
                    <w:rPr>
                      <w:sz w:val="22"/>
                    </w:rPr>
                  </w:pPr>
                </w:p>
                <w:p w14:paraId="624A7B43" w14:textId="77777777" w:rsidR="00F41757" w:rsidRPr="00E64A27" w:rsidRDefault="00F41757" w:rsidP="00E64A27">
                  <w:pPr>
                    <w:pStyle w:val="aa"/>
                    <w:ind w:firstLine="0"/>
                    <w:rPr>
                      <w:sz w:val="22"/>
                    </w:rPr>
                  </w:pPr>
                  <w:r w:rsidRPr="00E64A27">
                    <w:rPr>
                      <w:sz w:val="22"/>
                    </w:rPr>
                    <w:t xml:space="preserve">Адаптер забезпечує : </w:t>
                  </w:r>
                </w:p>
                <w:p w14:paraId="5E67AC81" w14:textId="77777777" w:rsidR="00F41757" w:rsidRPr="00E64A27" w:rsidRDefault="00F41757" w:rsidP="00E64A27">
                  <w:pPr>
                    <w:pStyle w:val="aa"/>
                    <w:ind w:firstLine="0"/>
                    <w:rPr>
                      <w:sz w:val="22"/>
                    </w:rPr>
                  </w:pPr>
                  <w:r w:rsidRPr="00E64A27">
                    <w:rPr>
                      <w:sz w:val="22"/>
                    </w:rPr>
                    <w:t xml:space="preserve">- рівень шумового сигналу до при навантаженні 120 </w:t>
                  </w:r>
                  <w:proofErr w:type="spellStart"/>
                  <w:r w:rsidRPr="00E64A27">
                    <w:rPr>
                      <w:sz w:val="22"/>
                    </w:rPr>
                    <w:t>Ом</w:t>
                  </w:r>
                  <w:proofErr w:type="spellEnd"/>
                  <w:r w:rsidRPr="00E64A27">
                    <w:rPr>
                      <w:sz w:val="22"/>
                    </w:rPr>
                    <w:t xml:space="preserve"> не менше 1В; </w:t>
                  </w:r>
                </w:p>
                <w:p w14:paraId="4A51B1AC" w14:textId="77777777" w:rsidR="00F41757" w:rsidRPr="00E64A27" w:rsidRDefault="00F41757" w:rsidP="00E64A27">
                  <w:pPr>
                    <w:pStyle w:val="aa"/>
                    <w:ind w:firstLine="0"/>
                    <w:rPr>
                      <w:sz w:val="22"/>
                    </w:rPr>
                  </w:pPr>
                  <w:r w:rsidRPr="00E64A27">
                    <w:rPr>
                      <w:sz w:val="22"/>
                    </w:rPr>
                    <w:t>- напругу живлення 12В при струмі до 0.5А.</w:t>
                  </w:r>
                </w:p>
              </w:tc>
              <w:tc>
                <w:tcPr>
                  <w:tcW w:w="983" w:type="dxa"/>
                  <w:shd w:val="clear" w:color="auto" w:fill="FFFFFF"/>
                  <w:vAlign w:val="center"/>
                </w:tcPr>
                <w:p w14:paraId="3B19E109" w14:textId="77777777" w:rsidR="00F41757" w:rsidRPr="00E64A27" w:rsidRDefault="00F41757" w:rsidP="00E64A27">
                  <w:pPr>
                    <w:pStyle w:val="aa"/>
                    <w:ind w:firstLine="0"/>
                    <w:jc w:val="center"/>
                    <w:rPr>
                      <w:b/>
                      <w:bCs/>
                      <w:sz w:val="22"/>
                    </w:rPr>
                  </w:pPr>
                  <w:r w:rsidRPr="00E64A27">
                    <w:rPr>
                      <w:b/>
                      <w:bCs/>
                      <w:sz w:val="22"/>
                    </w:rPr>
                    <w:t>5</w:t>
                  </w:r>
                </w:p>
              </w:tc>
            </w:tr>
            <w:tr w:rsidR="00F41757" w:rsidRPr="00E64A27" w14:paraId="1E12D2F4" w14:textId="77777777" w:rsidTr="00E64A27">
              <w:trPr>
                <w:trHeight w:val="2745"/>
              </w:trPr>
              <w:tc>
                <w:tcPr>
                  <w:tcW w:w="1877" w:type="dxa"/>
                  <w:shd w:val="clear" w:color="auto" w:fill="FFFFFF"/>
                  <w:vAlign w:val="center"/>
                </w:tcPr>
                <w:p w14:paraId="6C3753F8" w14:textId="77777777" w:rsidR="00F41757" w:rsidRPr="00E64A27" w:rsidRDefault="00F41757" w:rsidP="00E64A27">
                  <w:pPr>
                    <w:pStyle w:val="aa"/>
                    <w:ind w:firstLine="0"/>
                    <w:jc w:val="center"/>
                    <w:rPr>
                      <w:b/>
                      <w:bCs/>
                      <w:sz w:val="22"/>
                    </w:rPr>
                  </w:pPr>
                  <w:r w:rsidRPr="00E64A27">
                    <w:rPr>
                      <w:b/>
                      <w:bCs/>
                      <w:sz w:val="22"/>
                    </w:rPr>
                    <w:t>Фільтр загороджувальний високих частот "РІАС-4ФМ/10"</w:t>
                  </w:r>
                </w:p>
              </w:tc>
              <w:tc>
                <w:tcPr>
                  <w:tcW w:w="4110" w:type="dxa"/>
                  <w:shd w:val="clear" w:color="auto" w:fill="FFFFFF"/>
                  <w:tcMar>
                    <w:top w:w="180" w:type="dxa"/>
                    <w:left w:w="240" w:type="dxa"/>
                    <w:bottom w:w="180" w:type="dxa"/>
                    <w:right w:w="240" w:type="dxa"/>
                  </w:tcMar>
                  <w:vAlign w:val="center"/>
                </w:tcPr>
                <w:p w14:paraId="219D550B" w14:textId="77777777" w:rsidR="00F41757" w:rsidRPr="00E64A27" w:rsidRDefault="00F41757" w:rsidP="00E64A27">
                  <w:pPr>
                    <w:pStyle w:val="aa"/>
                    <w:ind w:firstLine="0"/>
                    <w:rPr>
                      <w:sz w:val="22"/>
                    </w:rPr>
                  </w:pPr>
                  <w:r w:rsidRPr="00E64A27">
                    <w:rPr>
                      <w:sz w:val="22"/>
                    </w:rPr>
                    <w:t xml:space="preserve">Призначений для захисту інформації від витоку колами електроживлення постійного або перемінного струму основних і допоміжних технічних засобів обробки інформації. </w:t>
                  </w:r>
                </w:p>
                <w:p w14:paraId="2BD45BE4" w14:textId="77777777" w:rsidR="00F41757" w:rsidRPr="00E64A27" w:rsidRDefault="00F41757" w:rsidP="00E64A27">
                  <w:pPr>
                    <w:pStyle w:val="aa"/>
                    <w:ind w:firstLine="0"/>
                    <w:rPr>
                      <w:sz w:val="22"/>
                    </w:rPr>
                  </w:pPr>
                  <w:r w:rsidRPr="00E64A27">
                    <w:rPr>
                      <w:sz w:val="22"/>
                    </w:rPr>
                    <w:t>Номінальна робоча перемінна та постійна напруга на вході фільтру – від 187 до 242 В.</w:t>
                  </w:r>
                </w:p>
                <w:p w14:paraId="0CD60BF4" w14:textId="77777777" w:rsidR="00F41757" w:rsidRPr="00E64A27" w:rsidRDefault="00F41757" w:rsidP="00E64A27">
                  <w:pPr>
                    <w:pStyle w:val="aa"/>
                    <w:ind w:firstLine="0"/>
                    <w:rPr>
                      <w:sz w:val="22"/>
                    </w:rPr>
                  </w:pPr>
                  <w:r w:rsidRPr="00E64A27">
                    <w:rPr>
                      <w:sz w:val="22"/>
                    </w:rPr>
                    <w:t xml:space="preserve">Номінальний робочий перемінний та постійний струм, що протікає через фільтр – до 10А. </w:t>
                  </w:r>
                </w:p>
                <w:p w14:paraId="0A95461E" w14:textId="77777777" w:rsidR="00F41757" w:rsidRPr="00E64A27" w:rsidRDefault="00F41757" w:rsidP="00E64A27">
                  <w:pPr>
                    <w:pStyle w:val="aa"/>
                    <w:ind w:firstLine="0"/>
                    <w:rPr>
                      <w:sz w:val="22"/>
                    </w:rPr>
                  </w:pPr>
                  <w:r w:rsidRPr="00E64A27">
                    <w:rPr>
                      <w:sz w:val="22"/>
                    </w:rPr>
                    <w:t xml:space="preserve">Прохідна потужність – не більше 2,2 кВт. </w:t>
                  </w:r>
                </w:p>
                <w:p w14:paraId="1BAFA266" w14:textId="77777777" w:rsidR="00F41757" w:rsidRPr="00E64A27" w:rsidRDefault="00F41757" w:rsidP="00E64A27">
                  <w:pPr>
                    <w:pStyle w:val="aa"/>
                    <w:ind w:firstLine="0"/>
                    <w:rPr>
                      <w:sz w:val="22"/>
                    </w:rPr>
                  </w:pPr>
                  <w:r w:rsidRPr="00E64A27">
                    <w:rPr>
                      <w:sz w:val="22"/>
                    </w:rPr>
                    <w:t>Смуга частот пригнічення фільтру – від 0,01 до 500 МГц.</w:t>
                  </w:r>
                </w:p>
                <w:p w14:paraId="3BF5F10E" w14:textId="77777777" w:rsidR="00F41757" w:rsidRPr="00E64A27" w:rsidRDefault="00F41757" w:rsidP="00E64A27">
                  <w:pPr>
                    <w:pStyle w:val="aa"/>
                    <w:ind w:firstLine="0"/>
                    <w:rPr>
                      <w:sz w:val="22"/>
                    </w:rPr>
                  </w:pPr>
                  <w:r w:rsidRPr="00E64A27">
                    <w:rPr>
                      <w:sz w:val="22"/>
                    </w:rPr>
                    <w:t>Коефіцієнт загасання в смузі частот пригнічення фільтру - не менше 30 дБ.</w:t>
                  </w:r>
                </w:p>
              </w:tc>
              <w:tc>
                <w:tcPr>
                  <w:tcW w:w="983" w:type="dxa"/>
                  <w:shd w:val="clear" w:color="auto" w:fill="FFFFFF"/>
                  <w:vAlign w:val="center"/>
                </w:tcPr>
                <w:p w14:paraId="652D834B" w14:textId="77777777" w:rsidR="00F41757" w:rsidRPr="00E64A27" w:rsidRDefault="00F41757" w:rsidP="00E64A27">
                  <w:pPr>
                    <w:pStyle w:val="aa"/>
                    <w:ind w:firstLine="0"/>
                    <w:jc w:val="center"/>
                    <w:rPr>
                      <w:b/>
                      <w:bCs/>
                      <w:sz w:val="22"/>
                    </w:rPr>
                  </w:pPr>
                  <w:r w:rsidRPr="00E64A27">
                    <w:rPr>
                      <w:b/>
                      <w:bCs/>
                      <w:sz w:val="22"/>
                    </w:rPr>
                    <w:t>20</w:t>
                  </w:r>
                </w:p>
              </w:tc>
            </w:tr>
          </w:tbl>
          <w:p w14:paraId="7E777500" w14:textId="2344DF22" w:rsidR="001133BB" w:rsidRPr="00E64A27" w:rsidRDefault="001133BB" w:rsidP="00E64A27">
            <w:pPr>
              <w:jc w:val="both"/>
              <w:rPr>
                <w:rStyle w:val="af"/>
                <w:rFonts w:ascii="Times New Roman" w:hAnsi="Times New Roman" w:cs="Times New Roman"/>
                <w:i w:val="0"/>
                <w:iCs w:val="0"/>
                <w:color w:val="000000"/>
              </w:rPr>
            </w:pPr>
          </w:p>
          <w:p w14:paraId="2DAF0535" w14:textId="3EE43D87" w:rsidR="006D2348" w:rsidRPr="00E64A27" w:rsidRDefault="006D2348" w:rsidP="00E64A27">
            <w:pPr>
              <w:tabs>
                <w:tab w:val="left" w:pos="4281"/>
                <w:tab w:val="left" w:pos="9214"/>
              </w:tabs>
              <w:rPr>
                <w:rFonts w:ascii="Times New Roman" w:hAnsi="Times New Roman" w:cs="Times New Roman"/>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 xml:space="preserve">Обґрунтування очікуваної вартості та </w:t>
            </w:r>
            <w:r w:rsidRPr="00BA061F">
              <w:rPr>
                <w:rFonts w:ascii="Times New Roman" w:hAnsi="Times New Roman" w:cs="Times New Roman"/>
                <w:b/>
                <w:sz w:val="24"/>
                <w:szCs w:val="24"/>
              </w:rPr>
              <w:lastRenderedPageBreak/>
              <w:t>розміру бюджетного призначення:</w:t>
            </w:r>
          </w:p>
        </w:tc>
        <w:tc>
          <w:tcPr>
            <w:tcW w:w="7230" w:type="dxa"/>
            <w:vAlign w:val="center"/>
          </w:tcPr>
          <w:p w14:paraId="66176AFB" w14:textId="5B394E95"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lastRenderedPageBreak/>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E64A27">
              <w:rPr>
                <w:rFonts w:ascii="Times New Roman" w:hAnsi="Times New Roman" w:cs="Times New Roman"/>
                <w:sz w:val="24"/>
                <w:szCs w:val="24"/>
              </w:rPr>
              <w:t xml:space="preserve">ВРТЗІ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lastRenderedPageBreak/>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0D6F"/>
    <w:rsid w:val="002E17AC"/>
    <w:rsid w:val="002F3327"/>
    <w:rsid w:val="002F39B4"/>
    <w:rsid w:val="002F3E3D"/>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C754C"/>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E78DD"/>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4A27"/>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30A"/>
    <w:rsid w:val="00F75E4F"/>
    <w:rsid w:val="00F8320E"/>
    <w:rsid w:val="00F832F0"/>
    <w:rsid w:val="00F8489B"/>
    <w:rsid w:val="00F86C82"/>
    <w:rsid w:val="00F87336"/>
    <w:rsid w:val="00F90A55"/>
    <w:rsid w:val="00F91B1D"/>
    <w:rsid w:val="00F95D81"/>
    <w:rsid w:val="00F96E65"/>
    <w:rsid w:val="00FA208C"/>
    <w:rsid w:val="00FA2E63"/>
    <w:rsid w:val="00FA34AC"/>
    <w:rsid w:val="00FA5D6A"/>
    <w:rsid w:val="00FA77A9"/>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3135</Words>
  <Characters>1788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21</cp:revision>
  <dcterms:created xsi:type="dcterms:W3CDTF">2025-04-10T10:09:00Z</dcterms:created>
  <dcterms:modified xsi:type="dcterms:W3CDTF">2025-04-10T10:21:00Z</dcterms:modified>
</cp:coreProperties>
</file>