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2E320FB"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E09">
        <w:rPr>
          <w:rStyle w:val="a9"/>
          <w:rFonts w:ascii="ProbaPro" w:hAnsi="ProbaPro"/>
          <w:color w:val="0056B3"/>
          <w:sz w:val="33"/>
          <w:szCs w:val="33"/>
          <w:bdr w:val="none" w:sz="0" w:space="0" w:color="auto" w:frame="1"/>
          <w:shd w:val="clear" w:color="auto" w:fill="FFFFFF"/>
        </w:rPr>
        <w:t xml:space="preserve"> </w:t>
      </w:r>
      <w:r w:rsidR="004202FC">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FCD222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B268BE" w:rsidRPr="00B268BE">
        <w:rPr>
          <w:color w:val="2E74B5" w:themeColor="accent1" w:themeShade="BF"/>
          <w:sz w:val="32"/>
          <w:szCs w:val="32"/>
        </w:rPr>
        <w:t>Супутниковий комплекс зв’язку Starlink</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0073694E" w:rsidR="00D13BB6" w:rsidRPr="00F623E2" w:rsidRDefault="00BE5C4B" w:rsidP="006062CA">
            <w:pPr>
              <w:rPr>
                <w:rFonts w:ascii="Times New Roman" w:hAnsi="Times New Roman" w:cs="Times New Roman"/>
                <w:sz w:val="24"/>
                <w:szCs w:val="24"/>
              </w:rPr>
            </w:pPr>
            <w:r w:rsidRPr="00BE5C4B">
              <w:rPr>
                <w:rFonts w:ascii="Times New Roman" w:hAnsi="Times New Roman" w:cs="Times New Roman"/>
                <w:sz w:val="24"/>
                <w:szCs w:val="24"/>
              </w:rPr>
              <w:t>32530000-7 Телекомунікаційне супутникове обладнання «Супутниковий комплекс зв’язку Starlink» (32531000-4)</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AD67FD9"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ID: UA-2025-09-03-012443-a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0BE5995" w:rsidR="00D13BB6" w:rsidRPr="00891149" w:rsidRDefault="00BE5C4B" w:rsidP="00C13CC0">
            <w:pPr>
              <w:rPr>
                <w:rFonts w:ascii="Times New Roman" w:hAnsi="Times New Roman" w:cs="Times New Roman"/>
                <w:sz w:val="24"/>
                <w:szCs w:val="24"/>
              </w:rPr>
            </w:pPr>
            <w:r w:rsidRPr="00BE5C4B">
              <w:rPr>
                <w:rFonts w:ascii="Times New Roman" w:hAnsi="Times New Roman" w:cs="Times New Roman"/>
                <w:sz w:val="24"/>
                <w:szCs w:val="24"/>
                <w:bdr w:val="none" w:sz="0" w:space="0" w:color="auto" w:frame="1"/>
                <w:shd w:val="clear" w:color="auto" w:fill="FFFFFF"/>
              </w:rPr>
              <w:t>470 000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7965BC">
        <w:trPr>
          <w:trHeight w:val="28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601C3FCD" w14:textId="11B2D11D" w:rsidR="003501F6" w:rsidRPr="00743C76" w:rsidRDefault="003501F6" w:rsidP="00B9331D">
            <w:pPr>
              <w:shd w:val="clear" w:color="auto" w:fill="FFFFFF"/>
              <w:ind w:firstLine="426"/>
              <w:rPr>
                <w:rFonts w:ascii="Times New Roman" w:hAnsi="Times New Roman" w:cs="Times New Roman"/>
                <w:b/>
                <w:color w:val="EE0000"/>
                <w:shd w:val="clear" w:color="auto" w:fill="FFFFFF"/>
              </w:rPr>
            </w:pPr>
          </w:p>
          <w:p w14:paraId="140CFD96"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16911DF"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6DF828F"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7A08D08"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743C76">
              <w:rPr>
                <w:rFonts w:ascii="Times New Roman" w:hAnsi="Times New Roman" w:cs="Times New Roman"/>
                <w:i/>
                <w:iCs/>
                <w:color w:val="000000"/>
                <w:lang w:eastAsia="uk-UA"/>
              </w:rPr>
              <w:t>Продавець відповідає за якість поставленої продукції.</w:t>
            </w:r>
          </w:p>
          <w:p w14:paraId="354F20A8"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7A4A213" w14:textId="3F0AA5D6"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88D4B7" w14:textId="77777777" w:rsidR="007965BC" w:rsidRPr="00743C76" w:rsidRDefault="007965BC" w:rsidP="00B9331D">
            <w:pPr>
              <w:jc w:val="both"/>
              <w:rPr>
                <w:rStyle w:val="af"/>
                <w:rFonts w:ascii="Times New Roman" w:hAnsi="Times New Roman" w:cs="Times New Roman"/>
                <w:i w:val="0"/>
                <w:iCs w:val="0"/>
                <w:color w:val="000000"/>
              </w:rPr>
            </w:pPr>
          </w:p>
          <w:tbl>
            <w:tblPr>
              <w:tblStyle w:val="a3"/>
              <w:tblW w:w="6862" w:type="dxa"/>
              <w:jc w:val="center"/>
              <w:tblLayout w:type="fixed"/>
              <w:tblLook w:val="04A0" w:firstRow="1" w:lastRow="0" w:firstColumn="1" w:lastColumn="0" w:noHBand="0" w:noVBand="1"/>
            </w:tblPr>
            <w:tblGrid>
              <w:gridCol w:w="704"/>
              <w:gridCol w:w="1197"/>
              <w:gridCol w:w="1701"/>
              <w:gridCol w:w="2693"/>
              <w:gridCol w:w="567"/>
            </w:tblGrid>
            <w:tr w:rsidR="00743C76" w:rsidRPr="00743C76" w14:paraId="5E853013" w14:textId="77777777" w:rsidTr="00743C76">
              <w:trPr>
                <w:trHeight w:val="637"/>
                <w:jc w:val="center"/>
              </w:trPr>
              <w:tc>
                <w:tcPr>
                  <w:tcW w:w="704" w:type="dxa"/>
                  <w:vAlign w:val="center"/>
                </w:tcPr>
                <w:p w14:paraId="5D2470A4"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 п/п</w:t>
                  </w:r>
                </w:p>
              </w:tc>
              <w:tc>
                <w:tcPr>
                  <w:tcW w:w="1197" w:type="dxa"/>
                </w:tcPr>
                <w:p w14:paraId="5A022F06" w14:textId="77777777" w:rsidR="00743C76" w:rsidRPr="00743C76" w:rsidRDefault="00743C76" w:rsidP="00B9331D">
                  <w:pPr>
                    <w:jc w:val="center"/>
                    <w:rPr>
                      <w:rFonts w:ascii="Times New Roman" w:eastAsia="Times New Roman" w:hAnsi="Times New Roman" w:cs="Times New Roman"/>
                      <w:b/>
                      <w:color w:val="000000" w:themeColor="text1"/>
                    </w:rPr>
                  </w:pPr>
                </w:p>
                <w:p w14:paraId="20D2E527"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Найменування</w:t>
                  </w:r>
                </w:p>
              </w:tc>
              <w:tc>
                <w:tcPr>
                  <w:tcW w:w="4394" w:type="dxa"/>
                  <w:gridSpan w:val="2"/>
                  <w:vAlign w:val="center"/>
                </w:tcPr>
                <w:p w14:paraId="55ADD931" w14:textId="77777777" w:rsidR="00743C76" w:rsidRPr="00743C76" w:rsidRDefault="00743C76" w:rsidP="00B9331D">
                  <w:pPr>
                    <w:jc w:val="center"/>
                    <w:rPr>
                      <w:rFonts w:ascii="Times New Roman" w:eastAsia="Times New Roman" w:hAnsi="Times New Roman" w:cs="Times New Roman"/>
                      <w:b/>
                      <w:color w:val="000000" w:themeColor="text1"/>
                    </w:rPr>
                  </w:pPr>
                </w:p>
                <w:p w14:paraId="09720658"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Технічні характеристики</w:t>
                  </w:r>
                </w:p>
              </w:tc>
              <w:tc>
                <w:tcPr>
                  <w:tcW w:w="567" w:type="dxa"/>
                  <w:vAlign w:val="center"/>
                </w:tcPr>
                <w:p w14:paraId="766A13C4"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К-сть</w:t>
                  </w:r>
                </w:p>
              </w:tc>
            </w:tr>
            <w:tr w:rsidR="00743C76" w:rsidRPr="00743C76" w14:paraId="327160E1" w14:textId="77777777" w:rsidTr="00743C76">
              <w:trPr>
                <w:jc w:val="center"/>
              </w:trPr>
              <w:tc>
                <w:tcPr>
                  <w:tcW w:w="704" w:type="dxa"/>
                  <w:vMerge w:val="restart"/>
                  <w:vAlign w:val="center"/>
                </w:tcPr>
                <w:p w14:paraId="36923C11" w14:textId="77777777" w:rsidR="00743C76" w:rsidRPr="00743C76" w:rsidRDefault="00743C76" w:rsidP="00B9331D">
                  <w:pPr>
                    <w:ind w:firstLine="1"/>
                    <w:jc w:val="center"/>
                    <w:rPr>
                      <w:rFonts w:ascii="Times New Roman" w:eastAsia="Times New Roman" w:hAnsi="Times New Roman" w:cs="Times New Roman"/>
                      <w:b/>
                      <w:bCs/>
                    </w:rPr>
                  </w:pPr>
                  <w:r w:rsidRPr="00743C76">
                    <w:rPr>
                      <w:rFonts w:ascii="Times New Roman" w:eastAsia="Times New Roman" w:hAnsi="Times New Roman" w:cs="Times New Roman"/>
                      <w:b/>
                      <w:bCs/>
                    </w:rPr>
                    <w:t>1</w:t>
                  </w:r>
                </w:p>
              </w:tc>
              <w:tc>
                <w:tcPr>
                  <w:tcW w:w="1197" w:type="dxa"/>
                  <w:vMerge w:val="restart"/>
                  <w:vAlign w:val="center"/>
                </w:tcPr>
                <w:p w14:paraId="231738FC" w14:textId="77777777" w:rsidR="00743C76" w:rsidRPr="00743C76" w:rsidRDefault="00743C76" w:rsidP="00B9331D">
                  <w:pPr>
                    <w:jc w:val="center"/>
                    <w:rPr>
                      <w:rFonts w:ascii="Times New Roman" w:hAnsi="Times New Roman" w:cs="Times New Roman"/>
                      <w:b/>
                      <w:bCs/>
                      <w:color w:val="000000"/>
                    </w:rPr>
                  </w:pPr>
                  <w:bookmarkStart w:id="1" w:name="_Hlk138946500"/>
                  <w:r w:rsidRPr="00743C76">
                    <w:rPr>
                      <w:rFonts w:ascii="Times New Roman" w:hAnsi="Times New Roman" w:cs="Times New Roman"/>
                      <w:b/>
                      <w:bCs/>
                      <w:color w:val="000000"/>
                    </w:rPr>
                    <w:t>Супутниковий комплекс зв’язку</w:t>
                  </w:r>
                  <w:r w:rsidRPr="00743C76">
                    <w:rPr>
                      <w:rFonts w:ascii="Times New Roman" w:eastAsia="Times New Roman" w:hAnsi="Times New Roman" w:cs="Times New Roman"/>
                      <w:b/>
                      <w:bCs/>
                      <w:color w:val="000000"/>
                      <w:kern w:val="36"/>
                      <w:lang w:eastAsia="uk-UA"/>
                    </w:rPr>
                    <w:t xml:space="preserve"> Starlink </w:t>
                  </w:r>
                  <w:r w:rsidRPr="00743C76">
                    <w:rPr>
                      <w:rFonts w:ascii="Times New Roman" w:eastAsia="Times New Roman" w:hAnsi="Times New Roman" w:cs="Times New Roman"/>
                      <w:b/>
                      <w:color w:val="000000"/>
                      <w:kern w:val="36"/>
                      <w:lang w:eastAsia="uk-UA"/>
                    </w:rPr>
                    <w:t>Internet Satellite MINI</w:t>
                  </w:r>
                  <w:r w:rsidRPr="00743C76">
                    <w:rPr>
                      <w:rFonts w:ascii="Times New Roman" w:eastAsia="Times New Roman" w:hAnsi="Times New Roman" w:cs="Times New Roman"/>
                      <w:b/>
                      <w:bCs/>
                      <w:color w:val="000000"/>
                      <w:kern w:val="36"/>
                      <w:lang w:eastAsia="uk-UA"/>
                    </w:rPr>
                    <w:t xml:space="preserve"> або еквівалент</w:t>
                  </w:r>
                </w:p>
                <w:bookmarkEnd w:id="1"/>
                <w:p w14:paraId="4CF1E919" w14:textId="77777777" w:rsidR="00743C76" w:rsidRPr="00743C76" w:rsidRDefault="00743C76" w:rsidP="00B9331D">
                  <w:pPr>
                    <w:jc w:val="center"/>
                    <w:rPr>
                      <w:rFonts w:ascii="Times New Roman" w:hAnsi="Times New Roman" w:cs="Times New Roman"/>
                      <w:bCs/>
                      <w:color w:val="000000"/>
                      <w:spacing w:val="-2"/>
                      <w:lang w:eastAsia="uk-UA"/>
                    </w:rPr>
                  </w:pPr>
                </w:p>
              </w:tc>
              <w:tc>
                <w:tcPr>
                  <w:tcW w:w="1701" w:type="dxa"/>
                </w:tcPr>
                <w:p w14:paraId="77883DD8"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Антена</w:t>
                  </w:r>
                </w:p>
              </w:tc>
              <w:tc>
                <w:tcPr>
                  <w:tcW w:w="2693" w:type="dxa"/>
                </w:tcPr>
                <w:p w14:paraId="40B97889"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Електронна фазована антенна решітка</w:t>
                  </w:r>
                </w:p>
              </w:tc>
              <w:tc>
                <w:tcPr>
                  <w:tcW w:w="567" w:type="dxa"/>
                  <w:vMerge w:val="restart"/>
                  <w:vAlign w:val="center"/>
                </w:tcPr>
                <w:p w14:paraId="2651FD5B" w14:textId="77777777" w:rsidR="00743C76" w:rsidRPr="00743C76" w:rsidRDefault="00743C76" w:rsidP="00B9331D">
                  <w:pPr>
                    <w:jc w:val="center"/>
                    <w:rPr>
                      <w:rFonts w:ascii="Times New Roman" w:eastAsia="Times New Roman" w:hAnsi="Times New Roman" w:cs="Times New Roman"/>
                      <w:b/>
                      <w:color w:val="FF0000"/>
                    </w:rPr>
                  </w:pPr>
                  <w:r w:rsidRPr="00743C76">
                    <w:rPr>
                      <w:rFonts w:ascii="Times New Roman" w:eastAsia="Times New Roman" w:hAnsi="Times New Roman" w:cs="Times New Roman"/>
                      <w:b/>
                      <w:color w:val="000000" w:themeColor="text1"/>
                    </w:rPr>
                    <w:t>10</w:t>
                  </w:r>
                </w:p>
              </w:tc>
            </w:tr>
            <w:tr w:rsidR="00743C76" w:rsidRPr="00743C76" w14:paraId="3DC0916F" w14:textId="77777777" w:rsidTr="00743C76">
              <w:trPr>
                <w:jc w:val="center"/>
              </w:trPr>
              <w:tc>
                <w:tcPr>
                  <w:tcW w:w="704" w:type="dxa"/>
                  <w:vMerge/>
                </w:tcPr>
                <w:p w14:paraId="429E62E4"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144A5C9"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198EB8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Поле зору</w:t>
                  </w:r>
                </w:p>
              </w:tc>
              <w:tc>
                <w:tcPr>
                  <w:tcW w:w="2693" w:type="dxa"/>
                </w:tcPr>
                <w:p w14:paraId="728FABBF"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110°</w:t>
                  </w:r>
                </w:p>
              </w:tc>
              <w:tc>
                <w:tcPr>
                  <w:tcW w:w="567" w:type="dxa"/>
                  <w:vMerge/>
                </w:tcPr>
                <w:p w14:paraId="0CBCB035"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4E0F77B6" w14:textId="77777777" w:rsidTr="00743C76">
              <w:trPr>
                <w:jc w:val="center"/>
              </w:trPr>
              <w:tc>
                <w:tcPr>
                  <w:tcW w:w="704" w:type="dxa"/>
                  <w:vMerge/>
                </w:tcPr>
                <w:p w14:paraId="1F98214C"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2A422F8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48257255"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Орієнтація</w:t>
                  </w:r>
                </w:p>
              </w:tc>
              <w:tc>
                <w:tcPr>
                  <w:tcW w:w="2693" w:type="dxa"/>
                </w:tcPr>
                <w:p w14:paraId="5F9FF421"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ручне орієнтування з допомогою програмного забезпечення</w:t>
                  </w:r>
                </w:p>
              </w:tc>
              <w:tc>
                <w:tcPr>
                  <w:tcW w:w="567" w:type="dxa"/>
                  <w:vMerge/>
                </w:tcPr>
                <w:p w14:paraId="16657A3F"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9D47DE3" w14:textId="77777777" w:rsidTr="00743C76">
              <w:trPr>
                <w:jc w:val="center"/>
              </w:trPr>
              <w:tc>
                <w:tcPr>
                  <w:tcW w:w="704" w:type="dxa"/>
                  <w:vMerge/>
                </w:tcPr>
                <w:p w14:paraId="42705D21"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6BB196EC"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16F7D71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Екологічний рейтинг</w:t>
                  </w:r>
                </w:p>
              </w:tc>
              <w:tc>
                <w:tcPr>
                  <w:tcW w:w="2693" w:type="dxa"/>
                </w:tcPr>
                <w:p w14:paraId="3D02806A"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IP67</w:t>
                  </w:r>
                </w:p>
              </w:tc>
              <w:tc>
                <w:tcPr>
                  <w:tcW w:w="567" w:type="dxa"/>
                  <w:vMerge/>
                </w:tcPr>
                <w:p w14:paraId="2405492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CF6198E" w14:textId="77777777" w:rsidTr="00743C76">
              <w:trPr>
                <w:jc w:val="center"/>
              </w:trPr>
              <w:tc>
                <w:tcPr>
                  <w:tcW w:w="704" w:type="dxa"/>
                  <w:vMerge/>
                </w:tcPr>
                <w:p w14:paraId="67EE5F0E"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3EC1840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0F23E75"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Робоча температура</w:t>
                  </w:r>
                </w:p>
              </w:tc>
              <w:tc>
                <w:tcPr>
                  <w:tcW w:w="2693" w:type="dxa"/>
                </w:tcPr>
                <w:p w14:paraId="0852E067"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від -30°C до </w:t>
                  </w:r>
                  <w:r w:rsidRPr="00743C76">
                    <w:rPr>
                      <w:rFonts w:ascii="Times New Roman" w:hAnsi="Times New Roman" w:cs="Times New Roman"/>
                      <w:color w:val="000000"/>
                      <w:lang w:val="en-US"/>
                    </w:rPr>
                    <w:t>6</w:t>
                  </w:r>
                  <w:r w:rsidRPr="00743C76">
                    <w:rPr>
                      <w:rFonts w:ascii="Times New Roman" w:hAnsi="Times New Roman" w:cs="Times New Roman"/>
                      <w:color w:val="000000"/>
                    </w:rPr>
                    <w:t>0°C</w:t>
                  </w:r>
                </w:p>
              </w:tc>
              <w:tc>
                <w:tcPr>
                  <w:tcW w:w="567" w:type="dxa"/>
                  <w:vMerge/>
                </w:tcPr>
                <w:p w14:paraId="6E77975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F6700B8" w14:textId="77777777" w:rsidTr="00743C76">
              <w:trPr>
                <w:jc w:val="center"/>
              </w:trPr>
              <w:tc>
                <w:tcPr>
                  <w:tcW w:w="704" w:type="dxa"/>
                  <w:vMerge/>
                </w:tcPr>
                <w:p w14:paraId="083F4FE8"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7FE9195F"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C7F4427"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 xml:space="preserve">Працює під час руху на швидкості </w:t>
                  </w:r>
                  <w:r w:rsidRPr="00743C76">
                    <w:rPr>
                      <w:rFonts w:ascii="Times New Roman" w:hAnsi="Times New Roman" w:cs="Times New Roman"/>
                      <w:color w:val="000000"/>
                      <w:lang w:val="ru-RU"/>
                    </w:rPr>
                    <w:t>80</w:t>
                  </w:r>
                  <w:r w:rsidRPr="00743C76">
                    <w:rPr>
                      <w:rFonts w:ascii="Times New Roman" w:hAnsi="Times New Roman" w:cs="Times New Roman"/>
                      <w:color w:val="000000"/>
                    </w:rPr>
                    <w:t xml:space="preserve"> км/год і вище</w:t>
                  </w:r>
                </w:p>
              </w:tc>
              <w:tc>
                <w:tcPr>
                  <w:tcW w:w="2693" w:type="dxa"/>
                </w:tcPr>
                <w:p w14:paraId="296662B6" w14:textId="77777777" w:rsidR="00743C76" w:rsidRPr="00743C76" w:rsidRDefault="00743C76" w:rsidP="00B9331D">
                  <w:pPr>
                    <w:pStyle w:val="afff4"/>
                    <w:spacing w:line="240" w:lineRule="auto"/>
                    <w:rPr>
                      <w:rFonts w:ascii="Times New Roman" w:hAnsi="Times New Roman" w:cs="Times New Roman"/>
                    </w:rPr>
                  </w:pPr>
                  <w:r w:rsidRPr="00743C76">
                    <w:rPr>
                      <w:rFonts w:ascii="Times New Roman" w:hAnsi="Times New Roman" w:cs="Times New Roman"/>
                    </w:rPr>
                    <w:t>Так</w:t>
                  </w:r>
                </w:p>
                <w:p w14:paraId="57E5B216" w14:textId="77777777" w:rsidR="00743C76" w:rsidRPr="00743C76" w:rsidRDefault="00743C76" w:rsidP="00B9331D">
                  <w:pPr>
                    <w:rPr>
                      <w:rFonts w:ascii="Times New Roman" w:eastAsia="Times New Roman" w:hAnsi="Times New Roman" w:cs="Times New Roman"/>
                      <w:b/>
                      <w:color w:val="FF0000"/>
                      <w:u w:val="single"/>
                    </w:rPr>
                  </w:pPr>
                </w:p>
              </w:tc>
              <w:tc>
                <w:tcPr>
                  <w:tcW w:w="567" w:type="dxa"/>
                  <w:vMerge/>
                </w:tcPr>
                <w:p w14:paraId="21EDEB42"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6416CF23" w14:textId="77777777" w:rsidTr="00743C76">
              <w:trPr>
                <w:jc w:val="center"/>
              </w:trPr>
              <w:tc>
                <w:tcPr>
                  <w:tcW w:w="704" w:type="dxa"/>
                  <w:vMerge/>
                </w:tcPr>
                <w:p w14:paraId="6D936018"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49DA5CF9"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92D97CB"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Можливість топлення снігу</w:t>
                  </w:r>
                </w:p>
              </w:tc>
              <w:tc>
                <w:tcPr>
                  <w:tcW w:w="2693" w:type="dxa"/>
                </w:tcPr>
                <w:p w14:paraId="452530B2"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до </w:t>
                  </w:r>
                  <w:r w:rsidRPr="00743C76">
                    <w:rPr>
                      <w:rFonts w:ascii="Times New Roman" w:hAnsi="Times New Roman" w:cs="Times New Roman"/>
                      <w:color w:val="000000"/>
                      <w:lang w:val="en-US"/>
                    </w:rPr>
                    <w:t>40</w:t>
                  </w:r>
                  <w:r w:rsidRPr="00743C76">
                    <w:rPr>
                      <w:rFonts w:ascii="Times New Roman" w:hAnsi="Times New Roman" w:cs="Times New Roman"/>
                      <w:color w:val="000000"/>
                    </w:rPr>
                    <w:t xml:space="preserve"> мм/год</w:t>
                  </w:r>
                </w:p>
              </w:tc>
              <w:tc>
                <w:tcPr>
                  <w:tcW w:w="567" w:type="dxa"/>
                  <w:vMerge/>
                </w:tcPr>
                <w:p w14:paraId="3EC9F05C"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58049BE" w14:textId="77777777" w:rsidTr="00743C76">
              <w:trPr>
                <w:jc w:val="center"/>
              </w:trPr>
              <w:tc>
                <w:tcPr>
                  <w:tcW w:w="704" w:type="dxa"/>
                  <w:vMerge/>
                </w:tcPr>
                <w:p w14:paraId="5A156A20"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0295237F"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E7F78C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Споживання енергії</w:t>
                  </w:r>
                </w:p>
              </w:tc>
              <w:tc>
                <w:tcPr>
                  <w:tcW w:w="2693" w:type="dxa"/>
                </w:tcPr>
                <w:p w14:paraId="6B48781A"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середня </w:t>
                  </w:r>
                  <w:r w:rsidRPr="00743C76">
                    <w:rPr>
                      <w:rFonts w:ascii="Times New Roman" w:hAnsi="Times New Roman" w:cs="Times New Roman"/>
                      <w:color w:val="000000"/>
                      <w:lang w:val="en-US"/>
                    </w:rPr>
                    <w:t>75</w:t>
                  </w:r>
                  <w:r w:rsidRPr="00743C76">
                    <w:rPr>
                      <w:rFonts w:ascii="Times New Roman" w:hAnsi="Times New Roman" w:cs="Times New Roman"/>
                      <w:color w:val="000000"/>
                    </w:rPr>
                    <w:t>–</w:t>
                  </w:r>
                  <w:r w:rsidRPr="00743C76">
                    <w:rPr>
                      <w:rFonts w:ascii="Times New Roman" w:hAnsi="Times New Roman" w:cs="Times New Roman"/>
                      <w:color w:val="000000"/>
                      <w:lang w:val="en-US"/>
                    </w:rPr>
                    <w:t>100</w:t>
                  </w:r>
                  <w:r w:rsidRPr="00743C76">
                    <w:rPr>
                      <w:rFonts w:ascii="Times New Roman" w:hAnsi="Times New Roman" w:cs="Times New Roman"/>
                      <w:color w:val="000000"/>
                    </w:rPr>
                    <w:t xml:space="preserve"> Вт</w:t>
                  </w:r>
                </w:p>
              </w:tc>
              <w:tc>
                <w:tcPr>
                  <w:tcW w:w="567" w:type="dxa"/>
                  <w:vMerge/>
                </w:tcPr>
                <w:p w14:paraId="5634752E"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5C42E205" w14:textId="77777777" w:rsidTr="00743C76">
              <w:trPr>
                <w:jc w:val="center"/>
              </w:trPr>
              <w:tc>
                <w:tcPr>
                  <w:tcW w:w="704" w:type="dxa"/>
                  <w:vMerge/>
                </w:tcPr>
                <w:p w14:paraId="1599C44F"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470CCCB6"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1163CEE" w14:textId="77777777" w:rsidR="00743C76" w:rsidRPr="00743C76" w:rsidRDefault="00743C76" w:rsidP="00B9331D">
                  <w:pPr>
                    <w:rPr>
                      <w:rFonts w:ascii="Times New Roman" w:hAnsi="Times New Roman" w:cs="Times New Roman"/>
                      <w:bCs/>
                      <w:color w:val="333E48"/>
                      <w:spacing w:val="-2"/>
                      <w:lang w:eastAsia="uk-UA"/>
                    </w:rPr>
                  </w:pPr>
                  <w:r w:rsidRPr="00743C76">
                    <w:rPr>
                      <w:rFonts w:ascii="Times New Roman" w:eastAsia="Times New Roman" w:hAnsi="Times New Roman" w:cs="Times New Roman"/>
                      <w:color w:val="000000"/>
                      <w:lang w:eastAsia="uk-UA"/>
                    </w:rPr>
                    <w:t xml:space="preserve">Гарантія </w:t>
                  </w:r>
                </w:p>
              </w:tc>
              <w:tc>
                <w:tcPr>
                  <w:tcW w:w="2693" w:type="dxa"/>
                </w:tcPr>
                <w:p w14:paraId="5D2C55FE" w14:textId="77777777" w:rsidR="00743C76" w:rsidRPr="00743C76" w:rsidRDefault="00743C76" w:rsidP="00B9331D">
                  <w:pPr>
                    <w:rPr>
                      <w:rFonts w:ascii="Times New Roman" w:hAnsi="Times New Roman" w:cs="Times New Roman"/>
                      <w:color w:val="333E48"/>
                      <w:spacing w:val="-2"/>
                      <w:lang w:eastAsia="uk-UA"/>
                    </w:rPr>
                  </w:pPr>
                  <w:r w:rsidRPr="00743C76">
                    <w:rPr>
                      <w:rFonts w:ascii="Times New Roman" w:hAnsi="Times New Roman" w:cs="Times New Roman"/>
                      <w:color w:val="000000"/>
                    </w:rPr>
                    <w:t>1 рік</w:t>
                  </w:r>
                </w:p>
              </w:tc>
              <w:tc>
                <w:tcPr>
                  <w:tcW w:w="567" w:type="dxa"/>
                  <w:vMerge/>
                </w:tcPr>
                <w:p w14:paraId="08EBE1D2"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6403757C" w14:textId="77777777" w:rsidTr="00743C76">
              <w:trPr>
                <w:jc w:val="center"/>
              </w:trPr>
              <w:tc>
                <w:tcPr>
                  <w:tcW w:w="704" w:type="dxa"/>
                  <w:vMerge/>
                </w:tcPr>
                <w:p w14:paraId="0CE5C485"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65B0C89A"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4A0CB52E" w14:textId="77777777" w:rsidR="00743C76" w:rsidRPr="00743C76" w:rsidRDefault="00743C76" w:rsidP="00B9331D">
                  <w:pPr>
                    <w:rPr>
                      <w:rFonts w:ascii="Times New Roman" w:hAnsi="Times New Roman" w:cs="Times New Roman"/>
                      <w:bCs/>
                      <w:color w:val="333E48"/>
                      <w:spacing w:val="-2"/>
                      <w:lang w:eastAsia="uk-UA"/>
                    </w:rPr>
                  </w:pPr>
                  <w:r w:rsidRPr="00743C76">
                    <w:rPr>
                      <w:rFonts w:ascii="Times New Roman" w:eastAsia="Times New Roman" w:hAnsi="Times New Roman" w:cs="Times New Roman"/>
                      <w:color w:val="000000"/>
                      <w:lang w:eastAsia="uk-UA"/>
                    </w:rPr>
                    <w:t xml:space="preserve">Колір пристрою </w:t>
                  </w:r>
                </w:p>
              </w:tc>
              <w:tc>
                <w:tcPr>
                  <w:tcW w:w="2693" w:type="dxa"/>
                </w:tcPr>
                <w:p w14:paraId="648F7B80" w14:textId="77777777" w:rsidR="00743C76" w:rsidRPr="00743C76" w:rsidRDefault="00743C76" w:rsidP="00B9331D">
                  <w:pPr>
                    <w:rPr>
                      <w:rFonts w:ascii="Times New Roman" w:hAnsi="Times New Roman" w:cs="Times New Roman"/>
                      <w:color w:val="333E48"/>
                      <w:spacing w:val="-2"/>
                      <w:lang w:eastAsia="uk-UA"/>
                    </w:rPr>
                  </w:pPr>
                  <w:r w:rsidRPr="00743C76">
                    <w:rPr>
                      <w:rFonts w:ascii="Times New Roman" w:hAnsi="Times New Roman" w:cs="Times New Roman"/>
                      <w:color w:val="000000"/>
                    </w:rPr>
                    <w:t>білий</w:t>
                  </w:r>
                </w:p>
              </w:tc>
              <w:tc>
                <w:tcPr>
                  <w:tcW w:w="567" w:type="dxa"/>
                  <w:vMerge/>
                </w:tcPr>
                <w:p w14:paraId="6F81DCE0"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54C324C9" w14:textId="77777777" w:rsidTr="00743C76">
              <w:trPr>
                <w:jc w:val="center"/>
              </w:trPr>
              <w:tc>
                <w:tcPr>
                  <w:tcW w:w="704" w:type="dxa"/>
                  <w:vMerge/>
                </w:tcPr>
                <w:p w14:paraId="73BEF67A"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00029DC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7F6AE3A1"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Джерело живлення термінала Starlink</w:t>
                  </w:r>
                </w:p>
              </w:tc>
              <w:tc>
                <w:tcPr>
                  <w:tcW w:w="2693" w:type="dxa"/>
                </w:tcPr>
                <w:p w14:paraId="42AB949F"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Екологічний рейтинг: IP66 Тип 4</w:t>
                  </w:r>
                </w:p>
                <w:p w14:paraId="4B716636"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Робоча температура: від -30°C до </w:t>
                  </w:r>
                  <w:r w:rsidRPr="00743C76">
                    <w:rPr>
                      <w:rFonts w:ascii="Times New Roman" w:hAnsi="Times New Roman" w:cs="Times New Roman"/>
                      <w:color w:val="000000"/>
                      <w:lang w:val="ru-RU"/>
                    </w:rPr>
                    <w:t>5</w:t>
                  </w:r>
                  <w:r w:rsidRPr="00743C76">
                    <w:rPr>
                      <w:rFonts w:ascii="Times New Roman" w:hAnsi="Times New Roman" w:cs="Times New Roman"/>
                      <w:color w:val="000000"/>
                    </w:rPr>
                    <w:t>0°C</w:t>
                  </w:r>
                </w:p>
                <w:p w14:paraId="586B0646"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Характеристики живлення: 100–240 В — 2,5 А, 50–60 Гц</w:t>
                  </w:r>
                </w:p>
              </w:tc>
              <w:tc>
                <w:tcPr>
                  <w:tcW w:w="567" w:type="dxa"/>
                  <w:vMerge/>
                </w:tcPr>
                <w:p w14:paraId="1CDC916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CF109DF" w14:textId="77777777" w:rsidTr="00743C76">
              <w:trPr>
                <w:jc w:val="center"/>
              </w:trPr>
              <w:tc>
                <w:tcPr>
                  <w:tcW w:w="704" w:type="dxa"/>
                  <w:vMerge/>
                </w:tcPr>
                <w:p w14:paraId="5D672356"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8C37ECB" w14:textId="77777777" w:rsidR="00743C76" w:rsidRPr="00743C76" w:rsidRDefault="00743C76" w:rsidP="00B9331D">
                  <w:pPr>
                    <w:rPr>
                      <w:rFonts w:ascii="Times New Roman" w:hAnsi="Times New Roman" w:cs="Times New Roman"/>
                      <w:bCs/>
                      <w:color w:val="000000"/>
                      <w:spacing w:val="-2"/>
                      <w:lang w:eastAsia="uk-UA"/>
                    </w:rPr>
                  </w:pPr>
                </w:p>
              </w:tc>
              <w:tc>
                <w:tcPr>
                  <w:tcW w:w="1701" w:type="dxa"/>
                  <w:vAlign w:val="center"/>
                </w:tcPr>
                <w:p w14:paraId="5EE428CE" w14:textId="77777777" w:rsidR="00743C76" w:rsidRPr="00743C76" w:rsidRDefault="00743C76" w:rsidP="00B9331D">
                  <w:pPr>
                    <w:textAlignment w:val="baseline"/>
                    <w:rPr>
                      <w:rFonts w:ascii="Times New Roman" w:eastAsia="Times New Roman" w:hAnsi="Times New Roman" w:cs="Times New Roman"/>
                      <w:color w:val="000000"/>
                      <w:lang w:eastAsia="uk-UA"/>
                    </w:rPr>
                  </w:pPr>
                  <w:r w:rsidRPr="00743C76">
                    <w:rPr>
                      <w:rFonts w:ascii="Times New Roman" w:eastAsia="Times New Roman" w:hAnsi="Times New Roman" w:cs="Times New Roman"/>
                      <w:color w:val="000000"/>
                      <w:lang w:eastAsia="uk-UA"/>
                    </w:rPr>
                    <w:t xml:space="preserve">Комплектація </w:t>
                  </w:r>
                </w:p>
                <w:p w14:paraId="71FE58B9" w14:textId="77777777" w:rsidR="00743C76" w:rsidRPr="00743C76" w:rsidRDefault="00743C76" w:rsidP="00B9331D">
                  <w:pPr>
                    <w:rPr>
                      <w:rFonts w:ascii="Times New Roman" w:eastAsia="Times New Roman" w:hAnsi="Times New Roman" w:cs="Times New Roman"/>
                      <w:color w:val="FF0000"/>
                      <w:u w:val="single"/>
                    </w:rPr>
                  </w:pPr>
                </w:p>
              </w:tc>
              <w:tc>
                <w:tcPr>
                  <w:tcW w:w="2693" w:type="dxa"/>
                  <w:vAlign w:val="center"/>
                </w:tcPr>
                <w:p w14:paraId="459EB502"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Starlink із вбудованим Wi-Fi </w:t>
                  </w:r>
                  <w:r w:rsidRPr="00743C76">
                    <w:rPr>
                      <w:rFonts w:ascii="Times New Roman" w:hAnsi="Times New Roman" w:cs="Times New Roman"/>
                      <w:color w:val="000000"/>
                    </w:rPr>
                    <w:br/>
                    <w:t>• Підставка (1 шт.)</w:t>
                  </w:r>
                  <w:r w:rsidRPr="00743C76">
                    <w:rPr>
                      <w:rFonts w:ascii="Times New Roman" w:hAnsi="Times New Roman" w:cs="Times New Roman"/>
                      <w:color w:val="000000"/>
                    </w:rPr>
                    <w:br/>
                    <w:t>• Перехідник для труб (1 шт.)</w:t>
                  </w:r>
                  <w:r w:rsidRPr="00743C76">
                    <w:rPr>
                      <w:rFonts w:ascii="Times New Roman" w:hAnsi="Times New Roman" w:cs="Times New Roman"/>
                      <w:color w:val="000000"/>
                    </w:rPr>
                    <w:br/>
                    <w:t>• Кабель живлення постійного струму 15 м. (1 шт.)</w:t>
                  </w:r>
                  <w:r w:rsidRPr="00743C76">
                    <w:rPr>
                      <w:rFonts w:ascii="Times New Roman" w:hAnsi="Times New Roman" w:cs="Times New Roman"/>
                      <w:color w:val="000000"/>
                    </w:rPr>
                    <w:br/>
                    <w:t>• Вилка термінала Starlink (1 шт.)</w:t>
                  </w:r>
                </w:p>
                <w:p w14:paraId="7492D4AE" w14:textId="77777777" w:rsidR="00743C76" w:rsidRPr="00743C76" w:rsidRDefault="00743C76" w:rsidP="00B9331D">
                  <w:pPr>
                    <w:pStyle w:val="afff4"/>
                    <w:spacing w:line="240" w:lineRule="auto"/>
                    <w:rPr>
                      <w:rFonts w:ascii="Times New Roman" w:hAnsi="Times New Roman" w:cs="Times New Roman"/>
                      <w:b/>
                      <w:color w:val="000000"/>
                    </w:rPr>
                  </w:pPr>
                  <w:r w:rsidRPr="00743C76">
                    <w:rPr>
                      <w:rFonts w:ascii="Times New Roman" w:hAnsi="Times New Roman" w:cs="Times New Roman"/>
                      <w:color w:val="000000"/>
                    </w:rPr>
                    <w:t>• Кабель живлення Starlink Mini Type C-DC 5 м. (1 шт.)</w:t>
                  </w:r>
                </w:p>
                <w:p w14:paraId="3FF617F0"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 </w:t>
                  </w:r>
                  <w:r w:rsidRPr="00743C76">
                    <w:rPr>
                      <w:rFonts w:ascii="Times New Roman" w:hAnsi="Times New Roman" w:cs="Times New Roman"/>
                      <w:color w:val="1A1A1A"/>
                      <w:shd w:val="clear" w:color="auto" w:fill="FFFFFF"/>
                    </w:rPr>
                    <w:t xml:space="preserve">корпус з UV-захистом, система магнітного кріплення, адаптований для швидкого монтажу на автомобілі або металеві конструкції </w:t>
                  </w:r>
                  <w:r w:rsidRPr="00743C76">
                    <w:rPr>
                      <w:rFonts w:ascii="Times New Roman" w:hAnsi="Times New Roman" w:cs="Times New Roman"/>
                      <w:color w:val="000000"/>
                    </w:rPr>
                    <w:t>(1 шт.)</w:t>
                  </w:r>
                </w:p>
                <w:p w14:paraId="5F012E6C" w14:textId="77777777" w:rsidR="00743C76" w:rsidRPr="00743C76" w:rsidRDefault="00743C76" w:rsidP="00B9331D">
                  <w:pPr>
                    <w:pStyle w:val="afff4"/>
                    <w:spacing w:line="240" w:lineRule="auto"/>
                    <w:rPr>
                      <w:rFonts w:ascii="Times New Roman" w:hAnsi="Times New Roman" w:cs="Times New Roman"/>
                    </w:rPr>
                  </w:pPr>
                  <w:r w:rsidRPr="00743C76">
                    <w:rPr>
                      <w:rFonts w:ascii="Times New Roman" w:hAnsi="Times New Roman" w:cs="Times New Roman"/>
                      <w:color w:val="000000"/>
                    </w:rPr>
                    <w:t xml:space="preserve">• </w:t>
                  </w:r>
                  <w:r w:rsidRPr="00743C76">
                    <w:rPr>
                      <w:rFonts w:ascii="Times New Roman" w:hAnsi="Times New Roman" w:cs="Times New Roman"/>
                    </w:rPr>
                    <w:t xml:space="preserve">тип фіксації до поверхні: набір шарнірних опор з прогумованими неодимовими магнітами </w:t>
                  </w:r>
                  <w:r w:rsidRPr="00743C76">
                    <w:rPr>
                      <w:rFonts w:ascii="Times New Roman" w:hAnsi="Times New Roman" w:cs="Times New Roman"/>
                      <w:color w:val="000000"/>
                    </w:rPr>
                    <w:t>(1 шт.)</w:t>
                  </w:r>
                </w:p>
                <w:p w14:paraId="4B5ED613"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чохол антитепловізійний (піксель) (1 шт.)</w:t>
                  </w:r>
                </w:p>
                <w:p w14:paraId="104785E0"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рюкзак піксель для (Starlink Mini) (1 шт.)</w:t>
                  </w:r>
                </w:p>
                <w:p w14:paraId="22E7963A" w14:textId="77777777" w:rsidR="00743C76" w:rsidRPr="00743C76" w:rsidRDefault="00743C76" w:rsidP="00B9331D">
                  <w:pPr>
                    <w:rPr>
                      <w:rFonts w:ascii="Times New Roman" w:hAnsi="Times New Roman" w:cs="Times New Roman"/>
                      <w:color w:val="000000"/>
                    </w:rPr>
                  </w:pPr>
                  <w:r w:rsidRPr="00743C76">
                    <w:rPr>
                      <w:rFonts w:ascii="Times New Roman" w:hAnsi="Times New Roman" w:cs="Times New Roman"/>
                      <w:color w:val="000000"/>
                    </w:rPr>
                    <w:t>• Адаптер живлення 12-24V (для живлення від прикурювача/бортової мережі автомобіля). (1 шт.)</w:t>
                  </w:r>
                </w:p>
                <w:p w14:paraId="297AFD39" w14:textId="77777777" w:rsidR="00743C76" w:rsidRPr="00743C76" w:rsidRDefault="00743C76" w:rsidP="00B9331D">
                  <w:pPr>
                    <w:rPr>
                      <w:rFonts w:ascii="Times New Roman" w:hAnsi="Times New Roman" w:cs="Times New Roman"/>
                      <w:color w:val="000000"/>
                    </w:rPr>
                  </w:pPr>
                  <w:r w:rsidRPr="00743C76">
                    <w:rPr>
                      <w:rFonts w:ascii="Times New Roman" w:hAnsi="Times New Roman" w:cs="Times New Roman"/>
                      <w:color w:val="000000"/>
                    </w:rPr>
                    <w:t>• Павербанк 100 000 mAh., потужність 100 Вт. (3 шт.)</w:t>
                  </w:r>
                </w:p>
              </w:tc>
              <w:tc>
                <w:tcPr>
                  <w:tcW w:w="567" w:type="dxa"/>
                  <w:vMerge/>
                </w:tcPr>
                <w:p w14:paraId="6E51387D"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C048088" w14:textId="77777777" w:rsidTr="00743C76">
              <w:trPr>
                <w:jc w:val="center"/>
              </w:trPr>
              <w:tc>
                <w:tcPr>
                  <w:tcW w:w="704" w:type="dxa"/>
                  <w:vMerge/>
                </w:tcPr>
                <w:p w14:paraId="06149099"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DFBF63A"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621F533"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Додаткова інформація</w:t>
                  </w:r>
                </w:p>
              </w:tc>
              <w:tc>
                <w:tcPr>
                  <w:tcW w:w="2693" w:type="dxa"/>
                </w:tcPr>
                <w:p w14:paraId="7FC86F1A" w14:textId="77777777" w:rsidR="00743C76" w:rsidRPr="00743C76" w:rsidRDefault="00743C76" w:rsidP="00B9331D">
                  <w:pPr>
                    <w:pStyle w:val="afff4"/>
                    <w:spacing w:line="240" w:lineRule="auto"/>
                    <w:rPr>
                      <w:rFonts w:ascii="Times New Roman" w:hAnsi="Times New Roman" w:cs="Times New Roman"/>
                      <w:color w:val="444444"/>
                    </w:rPr>
                  </w:pPr>
                  <w:r w:rsidRPr="00743C76">
                    <w:rPr>
                      <w:rFonts w:ascii="Times New Roman" w:hAnsi="Times New Roman" w:cs="Times New Roman"/>
                      <w:color w:val="000000"/>
                    </w:rPr>
                    <w:t>• Технологія Wi-Fi: 802.11 a/b/g/n/ac/ax;</w:t>
                  </w:r>
                  <w:r w:rsidRPr="00743C76">
                    <w:rPr>
                      <w:rFonts w:ascii="Times New Roman" w:hAnsi="Times New Roman" w:cs="Times New Roman"/>
                      <w:color w:val="FF0000"/>
                    </w:rPr>
                    <w:br/>
                  </w:r>
                  <w:r w:rsidRPr="00743C76">
                    <w:rPr>
                      <w:rFonts w:ascii="Times New Roman" w:hAnsi="Times New Roman" w:cs="Times New Roman"/>
                      <w:color w:val="000000"/>
                    </w:rPr>
                    <w:t>• Покоління Wi-Fi 6</w:t>
                  </w:r>
                  <w:r w:rsidRPr="00743C76">
                    <w:rPr>
                      <w:rFonts w:ascii="Times New Roman" w:hAnsi="Times New Roman" w:cs="Times New Roman"/>
                      <w:color w:val="FF0000"/>
                    </w:rPr>
                    <w:br/>
                  </w:r>
                  <w:r w:rsidRPr="00743C76">
                    <w:rPr>
                      <w:rFonts w:ascii="Times New Roman" w:hAnsi="Times New Roman" w:cs="Times New Roman"/>
                      <w:color w:val="000000"/>
                    </w:rPr>
                    <w:t>• Радіочастоти: тридіапазонний 4 x 4 MU-MIMO;</w:t>
                  </w:r>
                </w:p>
                <w:p w14:paraId="475B46E2"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Порти Ethernet: 2 (два) порти Ethernet LAN з фіксаторами та знімною кришкою</w:t>
                  </w:r>
                  <w:r w:rsidRPr="00743C76">
                    <w:rPr>
                      <w:rFonts w:ascii="Times New Roman" w:hAnsi="Times New Roman" w:cs="Times New Roman"/>
                      <w:color w:val="FF0000"/>
                    </w:rPr>
                    <w:br/>
                  </w:r>
                  <w:r w:rsidRPr="00743C76">
                    <w:rPr>
                      <w:rFonts w:ascii="Times New Roman" w:hAnsi="Times New Roman" w:cs="Times New Roman"/>
                      <w:color w:val="000000"/>
                    </w:rPr>
                    <w:t>• Діапазон: Up to 297 м2;</w:t>
                  </w:r>
                  <w:r w:rsidRPr="00743C76">
                    <w:rPr>
                      <w:rFonts w:ascii="Times New Roman" w:hAnsi="Times New Roman" w:cs="Times New Roman"/>
                      <w:color w:val="FF0000"/>
                    </w:rPr>
                    <w:br/>
                  </w:r>
                  <w:r w:rsidRPr="00743C76">
                    <w:rPr>
                      <w:rFonts w:ascii="Times New Roman" w:hAnsi="Times New Roman" w:cs="Times New Roman"/>
                      <w:color w:val="000000"/>
                    </w:rPr>
                    <w:t>• Безпека: WPA2</w:t>
                  </w:r>
                  <w:r w:rsidRPr="00743C76">
                    <w:rPr>
                      <w:rFonts w:ascii="Times New Roman" w:hAnsi="Times New Roman" w:cs="Times New Roman"/>
                      <w:color w:val="000000"/>
                    </w:rPr>
                    <w:br/>
                    <w:t>• Індикатор живлення: світлодіод лицьова панель,  лівий кут роутера</w:t>
                  </w:r>
                  <w:r w:rsidRPr="00743C76">
                    <w:rPr>
                      <w:rFonts w:ascii="Times New Roman" w:hAnsi="Times New Roman" w:cs="Times New Roman"/>
                      <w:color w:val="000000"/>
                    </w:rPr>
                    <w:br/>
                  </w:r>
                  <w:r w:rsidRPr="00743C76">
                    <w:rPr>
                      <w:rFonts w:ascii="Times New Roman" w:hAnsi="Times New Roman" w:cs="Times New Roman"/>
                      <w:color w:val="000000"/>
                    </w:rPr>
                    <w:lastRenderedPageBreak/>
                    <w:t>• Сумісність із Mesh: сумісний з усіма mesh-системами Starlink. Не сумісний зі сторонніми mesh-системами</w:t>
                  </w:r>
                  <w:r w:rsidRPr="00743C76">
                    <w:rPr>
                      <w:rFonts w:ascii="Times New Roman" w:hAnsi="Times New Roman" w:cs="Times New Roman"/>
                      <w:color w:val="000000"/>
                    </w:rPr>
                    <w:br/>
                    <w:t>• Пристрої: до 235 пристроїв</w:t>
                  </w:r>
                </w:p>
                <w:p w14:paraId="13BB317C" w14:textId="77777777" w:rsidR="00743C76" w:rsidRPr="00743C76" w:rsidRDefault="00743C76" w:rsidP="00B9331D">
                  <w:pPr>
                    <w:shd w:val="clear" w:color="auto" w:fill="FFFFFF"/>
                    <w:rPr>
                      <w:rFonts w:ascii="Times New Roman" w:eastAsia="Times New Roman" w:hAnsi="Times New Roman" w:cs="Times New Roman"/>
                      <w:color w:val="000000"/>
                      <w:lang w:eastAsia="uk-UA"/>
                    </w:rPr>
                  </w:pPr>
                  <w:r w:rsidRPr="00743C76">
                    <w:rPr>
                      <w:rFonts w:ascii="Times New Roman" w:eastAsia="Times New Roman" w:hAnsi="Times New Roman" w:cs="Times New Roman"/>
                      <w:color w:val="000000"/>
                      <w:lang w:eastAsia="uk-UA"/>
                    </w:rPr>
                    <w:t>•</w:t>
                  </w:r>
                  <w:r w:rsidRPr="00743C76">
                    <w:rPr>
                      <w:rFonts w:ascii="Times New Roman" w:hAnsi="Times New Roman" w:cs="Times New Roman"/>
                      <w:color w:val="000000"/>
                    </w:rPr>
                    <w:t xml:space="preserve"> </w:t>
                  </w:r>
                  <w:r w:rsidRPr="00743C76">
                    <w:rPr>
                      <w:rFonts w:ascii="Times New Roman" w:eastAsia="Times New Roman" w:hAnsi="Times New Roman" w:cs="Times New Roman"/>
                      <w:color w:val="000000"/>
                      <w:lang w:eastAsia="uk-UA"/>
                    </w:rPr>
                    <w:t>Екологічний рейтинг: клас захисту IP56 (водостійкий)</w:t>
                  </w:r>
                </w:p>
                <w:p w14:paraId="0F660C4F" w14:textId="77777777" w:rsidR="00743C76" w:rsidRPr="00743C76" w:rsidRDefault="00743C76" w:rsidP="00B9331D">
                  <w:pPr>
                    <w:rPr>
                      <w:rFonts w:ascii="Times New Roman" w:eastAsia="Times New Roman" w:hAnsi="Times New Roman" w:cs="Times New Roman"/>
                      <w:b/>
                      <w:color w:val="FF0000"/>
                      <w:u w:val="single"/>
                    </w:rPr>
                  </w:pPr>
                </w:p>
              </w:tc>
              <w:tc>
                <w:tcPr>
                  <w:tcW w:w="567" w:type="dxa"/>
                  <w:vMerge/>
                </w:tcPr>
                <w:p w14:paraId="58F2F742" w14:textId="77777777" w:rsidR="00743C76" w:rsidRPr="00743C76" w:rsidRDefault="00743C76" w:rsidP="00B9331D">
                  <w:pPr>
                    <w:rPr>
                      <w:rFonts w:ascii="Times New Roman" w:eastAsia="Times New Roman" w:hAnsi="Times New Roman" w:cs="Times New Roman"/>
                      <w:b/>
                      <w:color w:val="FF0000"/>
                      <w:u w:val="single"/>
                    </w:rPr>
                  </w:pPr>
                </w:p>
              </w:tc>
            </w:tr>
          </w:tbl>
          <w:p w14:paraId="2DAF0535" w14:textId="1DB2FDA0" w:rsidR="00997F3A" w:rsidRPr="00743C76" w:rsidRDefault="00997F3A" w:rsidP="00B9331D">
            <w:pPr>
              <w:tabs>
                <w:tab w:val="left" w:pos="993"/>
              </w:tabs>
              <w:suppressAutoHyphens/>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79BEE5D0"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4202FC">
              <w:rPr>
                <w:rFonts w:ascii="Times New Roman" w:hAnsi="Times New Roman" w:cs="Times New Roman"/>
                <w:sz w:val="24"/>
                <w:szCs w:val="24"/>
              </w:rPr>
              <w:t>державного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615E"/>
    <w:rsid w:val="004E66CF"/>
    <w:rsid w:val="004F16CD"/>
    <w:rsid w:val="004F3790"/>
    <w:rsid w:val="004F4B3D"/>
    <w:rsid w:val="004F546D"/>
    <w:rsid w:val="004F75DB"/>
    <w:rsid w:val="004F7B43"/>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5C4B"/>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2900</Words>
  <Characters>1654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22</cp:revision>
  <dcterms:created xsi:type="dcterms:W3CDTF">2025-09-03T15:03:00Z</dcterms:created>
  <dcterms:modified xsi:type="dcterms:W3CDTF">2025-09-03T15:05:00Z</dcterms:modified>
</cp:coreProperties>
</file>