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48B6114A" w:rsidR="001D7E98" w:rsidRDefault="00C6087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B20A1">
        <w:rPr>
          <w:rStyle w:val="a9"/>
          <w:rFonts w:ascii="ProbaPro" w:hAnsi="ProbaPro"/>
          <w:color w:val="0056B3"/>
          <w:sz w:val="33"/>
          <w:szCs w:val="33"/>
          <w:bdr w:val="none" w:sz="0" w:space="0" w:color="auto" w:frame="1"/>
          <w:shd w:val="clear" w:color="auto" w:fill="FFFFFF"/>
        </w:rPr>
        <w:t>0</w:t>
      </w:r>
      <w:r w:rsidR="00497923">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ACFF2E4"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497923" w:rsidRPr="00497923">
        <w:rPr>
          <w:color w:val="2E74B5" w:themeColor="accent1" w:themeShade="BF"/>
          <w:sz w:val="32"/>
          <w:szCs w:val="32"/>
        </w:rPr>
        <w:t>Офісне приладдя</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DD02C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3C0F13B4" w:rsidR="00D13BB6" w:rsidRPr="00F623E2" w:rsidRDefault="002D2FB9" w:rsidP="006062CA">
            <w:pPr>
              <w:rPr>
                <w:rFonts w:ascii="Times New Roman" w:hAnsi="Times New Roman" w:cs="Times New Roman"/>
                <w:sz w:val="24"/>
                <w:szCs w:val="24"/>
              </w:rPr>
            </w:pPr>
            <w:r w:rsidRPr="002D2FB9">
              <w:rPr>
                <w:rFonts w:ascii="Times New Roman" w:hAnsi="Times New Roman" w:cs="Times New Roman"/>
                <w:sz w:val="24"/>
                <w:szCs w:val="24"/>
              </w:rPr>
              <w:t>30190000-7 - Офісне устаткування та приладдя різне "Офісне приладдя" (30192000-1)</w:t>
            </w:r>
          </w:p>
        </w:tc>
      </w:tr>
      <w:tr w:rsidR="00D13BB6" w:rsidRPr="00B90AC7" w14:paraId="2DAF0523" w14:textId="77777777" w:rsidTr="00DD02C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3BE15ADC"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6600C9" w:rsidRPr="006600C9">
              <w:rPr>
                <w:rFonts w:ascii="Times New Roman" w:hAnsi="Times New Roman" w:cs="Times New Roman"/>
                <w:color w:val="333333"/>
                <w:sz w:val="24"/>
                <w:szCs w:val="24"/>
                <w:shd w:val="clear" w:color="auto" w:fill="FFFFFF"/>
              </w:rPr>
              <w:t>UA-2025-04-09-004198-a</w:t>
            </w:r>
          </w:p>
        </w:tc>
      </w:tr>
      <w:tr w:rsidR="00D13BB6" w:rsidRPr="00B90AC7" w14:paraId="2DAF0527" w14:textId="77777777" w:rsidTr="00DD02C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DD02C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1E2B3025" w:rsidR="00D13BB6" w:rsidRPr="00891149" w:rsidRDefault="006600C9" w:rsidP="00C13CC0">
            <w:pPr>
              <w:rPr>
                <w:rFonts w:ascii="Times New Roman" w:hAnsi="Times New Roman" w:cs="Times New Roman"/>
                <w:sz w:val="24"/>
                <w:szCs w:val="24"/>
              </w:rPr>
            </w:pPr>
            <w:r w:rsidRPr="006600C9">
              <w:rPr>
                <w:rFonts w:ascii="Times New Roman" w:hAnsi="Times New Roman" w:cs="Times New Roman"/>
                <w:sz w:val="24"/>
                <w:szCs w:val="24"/>
                <w:bdr w:val="none" w:sz="0" w:space="0" w:color="auto" w:frame="1"/>
                <w:shd w:val="clear" w:color="auto" w:fill="FFFFFF"/>
              </w:rPr>
              <w:t>55 700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DD02C1">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65B40D5F" w14:textId="77777777" w:rsidR="0058087E" w:rsidRDefault="0058087E" w:rsidP="007A7FAC">
            <w:pPr>
              <w:tabs>
                <w:tab w:val="left" w:pos="993"/>
              </w:tabs>
              <w:suppressAutoHyphens/>
              <w:jc w:val="both"/>
              <w:rPr>
                <w:rFonts w:ascii="Times New Roman" w:hAnsi="Times New Roman" w:cs="Times New Roman"/>
              </w:rPr>
            </w:pPr>
          </w:p>
          <w:p w14:paraId="3A750169"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35C3E486" w14:textId="3D4A7016"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Файли для документів А4, PP 40 мкм, глянець прозорий</w:t>
            </w:r>
            <w:r w:rsidR="00DD02C1">
              <w:rPr>
                <w:rFonts w:ascii="Times New Roman" w:eastAsia="Times New Roman" w:hAnsi="Times New Roman" w:cs="Times New Roman"/>
                <w:color w:val="333333"/>
                <w:sz w:val="18"/>
                <w:szCs w:val="18"/>
                <w:lang w:eastAsia="uk-UA"/>
              </w:rPr>
              <w:t>-100шт</w:t>
            </w:r>
          </w:p>
          <w:p w14:paraId="3722B82E"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4A008BD6"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12016364"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3294"/>
              <w:gridCol w:w="2977"/>
            </w:tblGrid>
            <w:tr w:rsidR="006600C9" w:rsidRPr="006600C9" w14:paraId="63A9A50B" w14:textId="77777777" w:rsidTr="006600C9">
              <w:tc>
                <w:tcPr>
                  <w:tcW w:w="3294" w:type="dxa"/>
                  <w:tcBorders>
                    <w:top w:val="nil"/>
                    <w:left w:val="nil"/>
                    <w:bottom w:val="nil"/>
                    <w:right w:val="nil"/>
                  </w:tcBorders>
                  <w:tcMar>
                    <w:top w:w="150" w:type="dxa"/>
                    <w:left w:w="150" w:type="dxa"/>
                    <w:bottom w:w="150" w:type="dxa"/>
                    <w:right w:w="150" w:type="dxa"/>
                  </w:tcMar>
                  <w:vAlign w:val="center"/>
                  <w:hideMark/>
                </w:tcPr>
                <w:p w14:paraId="5A4EB437"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1864875C"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0830721F"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2D81E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Формат аркуша паперу</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DDF5E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А4 (210х297 мм)</w:t>
                  </w:r>
                </w:p>
              </w:tc>
            </w:tr>
            <w:tr w:rsidR="006600C9" w:rsidRPr="006600C9" w14:paraId="156ACA33"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96CDC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602B52"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PP (поліпропілен)</w:t>
                  </w:r>
                </w:p>
              </w:tc>
            </w:tr>
            <w:tr w:rsidR="006600C9" w:rsidRPr="006600C9" w14:paraId="6D1F7539"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DBBF1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Фактура поверхні</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3F013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глянцева</w:t>
                  </w:r>
                </w:p>
              </w:tc>
            </w:tr>
            <w:tr w:rsidR="006600C9" w:rsidRPr="006600C9" w14:paraId="7A37A9A4"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E0F36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 плівки</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E6C59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прозорий</w:t>
                  </w:r>
                </w:p>
              </w:tc>
            </w:tr>
            <w:tr w:rsidR="006600C9" w:rsidRPr="006600C9" w14:paraId="5E83B140"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73ECB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Орієнтація документа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E4D174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вертикальна</w:t>
                  </w:r>
                </w:p>
              </w:tc>
            </w:tr>
            <w:tr w:rsidR="006600C9" w:rsidRPr="006600C9" w14:paraId="4C4DC0F6"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33BAA4"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Товщина плівки</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8C0FF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40 мікрометр</w:t>
                  </w:r>
                </w:p>
              </w:tc>
            </w:tr>
          </w:tbl>
          <w:p w14:paraId="46088E7B"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514EE3FE" w14:textId="1AE4817F"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Олівець графітовий HB, дерев'яний, заточений, з ластиком</w:t>
            </w:r>
            <w:r w:rsidR="00DD02C1">
              <w:rPr>
                <w:rFonts w:ascii="Times New Roman" w:eastAsia="Times New Roman" w:hAnsi="Times New Roman" w:cs="Times New Roman"/>
                <w:color w:val="333333"/>
                <w:sz w:val="18"/>
                <w:szCs w:val="18"/>
                <w:lang w:eastAsia="uk-UA"/>
              </w:rPr>
              <w:t>-200шт</w:t>
            </w:r>
          </w:p>
          <w:p w14:paraId="5A8D62E9"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7D18641A"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2BC52305"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3294"/>
              <w:gridCol w:w="3119"/>
            </w:tblGrid>
            <w:tr w:rsidR="006600C9" w:rsidRPr="006600C9" w14:paraId="1C22D880" w14:textId="77777777" w:rsidTr="006600C9">
              <w:tc>
                <w:tcPr>
                  <w:tcW w:w="3294" w:type="dxa"/>
                  <w:tcBorders>
                    <w:top w:val="nil"/>
                    <w:left w:val="nil"/>
                    <w:bottom w:val="nil"/>
                    <w:right w:val="nil"/>
                  </w:tcBorders>
                  <w:tcMar>
                    <w:top w:w="150" w:type="dxa"/>
                    <w:left w:w="150" w:type="dxa"/>
                    <w:bottom w:w="150" w:type="dxa"/>
                    <w:right w:w="150" w:type="dxa"/>
                  </w:tcMar>
                  <w:vAlign w:val="center"/>
                  <w:hideMark/>
                </w:tcPr>
                <w:p w14:paraId="44DD4E1C"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3119" w:type="dxa"/>
                  <w:tcBorders>
                    <w:top w:val="nil"/>
                    <w:left w:val="nil"/>
                    <w:bottom w:val="nil"/>
                    <w:right w:val="nil"/>
                  </w:tcBorders>
                  <w:tcMar>
                    <w:top w:w="150" w:type="dxa"/>
                    <w:left w:w="150" w:type="dxa"/>
                    <w:bottom w:w="150" w:type="dxa"/>
                    <w:right w:w="150" w:type="dxa"/>
                  </w:tcMar>
                  <w:vAlign w:val="center"/>
                  <w:hideMark/>
                </w:tcPr>
                <w:p w14:paraId="790A5319"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705C87C1"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D8680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З гумкою</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1D052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Так</w:t>
                  </w:r>
                </w:p>
              </w:tc>
            </w:tr>
            <w:tr w:rsidR="006600C9" w:rsidRPr="006600C9" w14:paraId="6E5E5C01"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D0F35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Вид</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14571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звичайний</w:t>
                  </w:r>
                </w:p>
              </w:tc>
            </w:tr>
            <w:tr w:rsidR="006600C9" w:rsidRPr="006600C9" w14:paraId="3323EF58"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FC915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Твердість грифеля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61987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HB</w:t>
                  </w:r>
                </w:p>
              </w:tc>
            </w:tr>
            <w:tr w:rsidR="006600C9" w:rsidRPr="006600C9" w14:paraId="569CCA1C"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A1C71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корпусу</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5F286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дерево</w:t>
                  </w:r>
                </w:p>
              </w:tc>
            </w:tr>
            <w:tr w:rsidR="006600C9" w:rsidRPr="006600C9" w14:paraId="253799C7"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0268D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Заточений</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7CE3A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Так</w:t>
                  </w:r>
                </w:p>
              </w:tc>
            </w:tr>
            <w:tr w:rsidR="006600C9" w:rsidRPr="006600C9" w14:paraId="25DFF93D"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1131BA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Діаметр грифеля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1947B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Від: 2.0 міліметр</w:t>
                  </w:r>
                </w:p>
              </w:tc>
            </w:tr>
            <w:tr w:rsidR="006600C9" w:rsidRPr="006600C9" w14:paraId="5F658C42"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696BE2"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lastRenderedPageBreak/>
                    <w:t>Довжина олівця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5C84F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Від: 180 міліметр</w:t>
                  </w:r>
                </w:p>
              </w:tc>
            </w:tr>
            <w:tr w:rsidR="006600C9" w:rsidRPr="006600C9" w14:paraId="677C97E4" w14:textId="77777777" w:rsidTr="006600C9">
              <w:tc>
                <w:tcPr>
                  <w:tcW w:w="329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5C2B75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Діаметр олівця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0045A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Від: 7.0 міліметр</w:t>
                  </w:r>
                </w:p>
              </w:tc>
            </w:tr>
          </w:tbl>
          <w:p w14:paraId="79202855"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7308C1ED"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05F02D25" w14:textId="5C3CF6FE"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6A00967E" w14:textId="092AB514"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 xml:space="preserve">Скоби для </w:t>
            </w:r>
            <w:proofErr w:type="spellStart"/>
            <w:r w:rsidRPr="006600C9">
              <w:rPr>
                <w:rFonts w:ascii="Times New Roman" w:eastAsia="Times New Roman" w:hAnsi="Times New Roman" w:cs="Times New Roman"/>
                <w:color w:val="333333"/>
                <w:sz w:val="18"/>
                <w:szCs w:val="18"/>
                <w:lang w:eastAsia="uk-UA"/>
              </w:rPr>
              <w:t>степлера</w:t>
            </w:r>
            <w:proofErr w:type="spellEnd"/>
            <w:r w:rsidRPr="006600C9">
              <w:rPr>
                <w:rFonts w:ascii="Times New Roman" w:eastAsia="Times New Roman" w:hAnsi="Times New Roman" w:cs="Times New Roman"/>
                <w:color w:val="333333"/>
                <w:sz w:val="18"/>
                <w:szCs w:val="18"/>
                <w:lang w:eastAsia="uk-UA"/>
              </w:rPr>
              <w:t xml:space="preserve"> №24/6, 1000 шт.</w:t>
            </w:r>
            <w:r w:rsidR="00DD02C1">
              <w:rPr>
                <w:rFonts w:ascii="Times New Roman" w:eastAsia="Times New Roman" w:hAnsi="Times New Roman" w:cs="Times New Roman"/>
                <w:color w:val="333333"/>
                <w:sz w:val="18"/>
                <w:szCs w:val="18"/>
                <w:lang w:eastAsia="uk-UA"/>
              </w:rPr>
              <w:t>-100шт</w:t>
            </w:r>
          </w:p>
          <w:p w14:paraId="339A4680"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408F7777"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5AE6D756"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10950" w:type="dxa"/>
              <w:tblLayout w:type="fixed"/>
              <w:tblCellMar>
                <w:left w:w="0" w:type="dxa"/>
                <w:right w:w="0" w:type="dxa"/>
              </w:tblCellMar>
              <w:tblLook w:val="04A0" w:firstRow="1" w:lastRow="0" w:firstColumn="1" w:lastColumn="0" w:noHBand="0" w:noVBand="1"/>
            </w:tblPr>
            <w:tblGrid>
              <w:gridCol w:w="6897"/>
              <w:gridCol w:w="4053"/>
            </w:tblGrid>
            <w:tr w:rsidR="006600C9" w:rsidRPr="006600C9" w14:paraId="0FDD8B43" w14:textId="77777777" w:rsidTr="006600C9">
              <w:tc>
                <w:tcPr>
                  <w:tcW w:w="6897" w:type="dxa"/>
                  <w:tcBorders>
                    <w:top w:val="nil"/>
                    <w:left w:val="nil"/>
                    <w:bottom w:val="nil"/>
                    <w:right w:val="nil"/>
                  </w:tcBorders>
                  <w:tcMar>
                    <w:top w:w="150" w:type="dxa"/>
                    <w:left w:w="150" w:type="dxa"/>
                    <w:bottom w:w="150" w:type="dxa"/>
                    <w:right w:w="150" w:type="dxa"/>
                  </w:tcMar>
                  <w:vAlign w:val="center"/>
                  <w:hideMark/>
                </w:tcPr>
                <w:p w14:paraId="64DFE68A"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4053" w:type="dxa"/>
                  <w:tcBorders>
                    <w:top w:val="nil"/>
                    <w:left w:val="nil"/>
                    <w:bottom w:val="nil"/>
                    <w:right w:val="nil"/>
                  </w:tcBorders>
                  <w:tcMar>
                    <w:top w:w="150" w:type="dxa"/>
                    <w:left w:w="150" w:type="dxa"/>
                    <w:bottom w:w="150" w:type="dxa"/>
                    <w:right w:w="150" w:type="dxa"/>
                  </w:tcMar>
                  <w:vAlign w:val="center"/>
                  <w:hideMark/>
                </w:tcPr>
                <w:p w14:paraId="7C9C3656"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4831B12C" w14:textId="77777777" w:rsidTr="006600C9">
              <w:tc>
                <w:tcPr>
                  <w:tcW w:w="689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134534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Розмір</w:t>
                  </w:r>
                </w:p>
              </w:tc>
              <w:tc>
                <w:tcPr>
                  <w:tcW w:w="405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6C48C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24/6</w:t>
                  </w:r>
                </w:p>
              </w:tc>
            </w:tr>
            <w:tr w:rsidR="006600C9" w:rsidRPr="006600C9" w14:paraId="5646266D" w14:textId="77777777" w:rsidTr="006600C9">
              <w:tc>
                <w:tcPr>
                  <w:tcW w:w="689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566B08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 xml:space="preserve">Кількість в </w:t>
                  </w:r>
                  <w:proofErr w:type="spellStart"/>
                  <w:r w:rsidRPr="006600C9">
                    <w:rPr>
                      <w:rFonts w:ascii="Times New Roman" w:eastAsia="Times New Roman" w:hAnsi="Times New Roman" w:cs="Times New Roman"/>
                      <w:sz w:val="18"/>
                      <w:szCs w:val="18"/>
                      <w:lang w:eastAsia="uk-UA"/>
                    </w:rPr>
                    <w:t>упавковці</w:t>
                  </w:r>
                  <w:proofErr w:type="spellEnd"/>
                </w:p>
              </w:tc>
              <w:tc>
                <w:tcPr>
                  <w:tcW w:w="405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8E6F0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1000 штука</w:t>
                  </w:r>
                </w:p>
              </w:tc>
            </w:tr>
          </w:tbl>
          <w:p w14:paraId="5EC708C9"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2AAD114B"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4C7D2F1B" w14:textId="52B1DD6D"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Клейкі стрічки канцелярські 45ммx90м, 30мкм, прозорі</w:t>
            </w:r>
            <w:r w:rsidR="00DD02C1">
              <w:rPr>
                <w:rFonts w:ascii="Times New Roman" w:eastAsia="Times New Roman" w:hAnsi="Times New Roman" w:cs="Times New Roman"/>
                <w:color w:val="333333"/>
                <w:sz w:val="18"/>
                <w:szCs w:val="18"/>
                <w:lang w:eastAsia="uk-UA"/>
              </w:rPr>
              <w:t>-30шт</w:t>
            </w:r>
          </w:p>
          <w:p w14:paraId="7984F5DF"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7CD96EC2"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3C7B0755"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4145"/>
              <w:gridCol w:w="2268"/>
            </w:tblGrid>
            <w:tr w:rsidR="006600C9" w:rsidRPr="006600C9" w14:paraId="25AF1D3E" w14:textId="77777777" w:rsidTr="006600C9">
              <w:tc>
                <w:tcPr>
                  <w:tcW w:w="4145" w:type="dxa"/>
                  <w:tcBorders>
                    <w:top w:val="nil"/>
                    <w:left w:val="nil"/>
                    <w:bottom w:val="nil"/>
                    <w:right w:val="nil"/>
                  </w:tcBorders>
                  <w:tcMar>
                    <w:top w:w="150" w:type="dxa"/>
                    <w:left w:w="150" w:type="dxa"/>
                    <w:bottom w:w="150" w:type="dxa"/>
                    <w:right w:w="150" w:type="dxa"/>
                  </w:tcMar>
                  <w:vAlign w:val="center"/>
                  <w:hideMark/>
                </w:tcPr>
                <w:p w14:paraId="56D50F49"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46B84154"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563B015D" w14:textId="77777777" w:rsidTr="006600C9">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01925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Тип клейкої стрічки</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56E92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одностороння</w:t>
                  </w:r>
                </w:p>
              </w:tc>
            </w:tr>
            <w:tr w:rsidR="006600C9" w:rsidRPr="006600C9" w14:paraId="763B66E0" w14:textId="77777777" w:rsidTr="006600C9">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B02D3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C38E6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прозорий</w:t>
                  </w:r>
                </w:p>
              </w:tc>
            </w:tr>
            <w:tr w:rsidR="006600C9" w:rsidRPr="006600C9" w14:paraId="7EFD80A7" w14:textId="77777777" w:rsidTr="006600C9">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E68EA4"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Довжина клейкої стрічки</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FB1FB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90.0 - 100.0 метр</w:t>
                  </w:r>
                </w:p>
              </w:tc>
            </w:tr>
            <w:tr w:rsidR="006600C9" w:rsidRPr="006600C9" w14:paraId="2A030768" w14:textId="77777777" w:rsidTr="006600C9">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3D958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Ширина клейкої стрічки</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9F516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45.0 - 48.0 міліметр</w:t>
                  </w:r>
                </w:p>
              </w:tc>
            </w:tr>
            <w:tr w:rsidR="006600C9" w:rsidRPr="006600C9" w14:paraId="67687A44" w14:textId="77777777" w:rsidTr="006600C9">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3FE7B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Товщина клейкої стрічки</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AA180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Від: 30.0 мікрометр</w:t>
                  </w:r>
                </w:p>
              </w:tc>
            </w:tr>
          </w:tbl>
          <w:p w14:paraId="309B8901"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119872FF"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78E798E0"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67E0BE69" w14:textId="682DE67C"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 xml:space="preserve">Ручка </w:t>
            </w:r>
            <w:proofErr w:type="spellStart"/>
            <w:r w:rsidRPr="006600C9">
              <w:rPr>
                <w:rFonts w:ascii="Times New Roman" w:eastAsia="Times New Roman" w:hAnsi="Times New Roman" w:cs="Times New Roman"/>
                <w:color w:val="333333"/>
                <w:sz w:val="18"/>
                <w:szCs w:val="18"/>
                <w:lang w:eastAsia="uk-UA"/>
              </w:rPr>
              <w:t>гелева</w:t>
            </w:r>
            <w:proofErr w:type="spellEnd"/>
            <w:r w:rsidRPr="006600C9">
              <w:rPr>
                <w:rFonts w:ascii="Times New Roman" w:eastAsia="Times New Roman" w:hAnsi="Times New Roman" w:cs="Times New Roman"/>
                <w:color w:val="333333"/>
                <w:sz w:val="18"/>
                <w:szCs w:val="18"/>
                <w:lang w:eastAsia="uk-UA"/>
              </w:rPr>
              <w:t>, неавтоматична, пластиковий корпус, пише синім, 0,7мм</w:t>
            </w:r>
            <w:r w:rsidR="00DD02C1">
              <w:rPr>
                <w:rFonts w:ascii="Times New Roman" w:eastAsia="Times New Roman" w:hAnsi="Times New Roman" w:cs="Times New Roman"/>
                <w:color w:val="333333"/>
                <w:sz w:val="18"/>
                <w:szCs w:val="18"/>
                <w:lang w:eastAsia="uk-UA"/>
              </w:rPr>
              <w:t>-50шт</w:t>
            </w:r>
          </w:p>
          <w:p w14:paraId="33F5B7DC"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749B341B"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012AF110"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4145"/>
              <w:gridCol w:w="2268"/>
            </w:tblGrid>
            <w:tr w:rsidR="006600C9" w:rsidRPr="006600C9" w14:paraId="7A721BD9"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676EB306"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1CD6E093"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3DBD7C80"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A359B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Тип</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B6253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proofErr w:type="spellStart"/>
                  <w:r w:rsidRPr="006600C9">
                    <w:rPr>
                      <w:rFonts w:ascii="Times New Roman" w:eastAsia="Times New Roman" w:hAnsi="Times New Roman" w:cs="Times New Roman"/>
                      <w:sz w:val="18"/>
                      <w:szCs w:val="18"/>
                      <w:lang w:eastAsia="uk-UA"/>
                    </w:rPr>
                    <w:t>гелева</w:t>
                  </w:r>
                  <w:proofErr w:type="spellEnd"/>
                </w:p>
              </w:tc>
            </w:tr>
            <w:tr w:rsidR="006600C9" w:rsidRPr="006600C9" w14:paraId="60621198"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5E2114"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Вид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27C94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неавтоматична</w:t>
                  </w:r>
                </w:p>
              </w:tc>
            </w:tr>
            <w:tr w:rsidR="006600C9" w:rsidRPr="006600C9" w14:paraId="3E6F1BA5"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49DBC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корпусу</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80EF7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пластик</w:t>
                  </w:r>
                </w:p>
              </w:tc>
            </w:tr>
            <w:tr w:rsidR="006600C9" w:rsidRPr="006600C9" w14:paraId="1C4E90C6"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844F0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 чорнила</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D7867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синій</w:t>
                  </w:r>
                </w:p>
              </w:tc>
            </w:tr>
            <w:tr w:rsidR="006600C9" w:rsidRPr="006600C9" w14:paraId="0DF148DD"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14B3F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Змінний стрижень</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49529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Так</w:t>
                  </w:r>
                </w:p>
              </w:tc>
            </w:tr>
            <w:tr w:rsidR="006600C9" w:rsidRPr="006600C9" w14:paraId="67ED7D82"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85052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Товщина лінії</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236BD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0.7 міліметр</w:t>
                  </w:r>
                </w:p>
              </w:tc>
            </w:tr>
          </w:tbl>
          <w:p w14:paraId="79078D19"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369CBC27"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0F2E71CC"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6839CA77"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7F6864FC"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62F71C65" w14:textId="5232DDB5"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Фарба штемпельна, водна основа, колір синій, 25-30 мл</w:t>
            </w:r>
            <w:r w:rsidR="00DD02C1">
              <w:rPr>
                <w:rFonts w:ascii="Times New Roman" w:eastAsia="Times New Roman" w:hAnsi="Times New Roman" w:cs="Times New Roman"/>
                <w:color w:val="333333"/>
                <w:sz w:val="18"/>
                <w:szCs w:val="18"/>
                <w:lang w:eastAsia="uk-UA"/>
              </w:rPr>
              <w:t>-10шт</w:t>
            </w:r>
          </w:p>
          <w:p w14:paraId="3D092A7B"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23AF77B8"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1D9088D1"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076D267B"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4CDD6B87"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6572FD52"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13B758B4" w14:textId="77777777" w:rsidTr="006F164E">
              <w:trPr>
                <w:trHeight w:val="568"/>
              </w:trPr>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6A018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Основа чорнил</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CA089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водна</w:t>
                  </w:r>
                </w:p>
              </w:tc>
            </w:tr>
            <w:tr w:rsidR="006600C9" w:rsidRPr="006600C9" w14:paraId="226D5288"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D2AEE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8CD8F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синій</w:t>
                  </w:r>
                </w:p>
              </w:tc>
            </w:tr>
            <w:tr w:rsidR="006600C9" w:rsidRPr="006600C9" w14:paraId="02DCA3FF"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03DF1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Об'єм</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92F56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 xml:space="preserve">25.0 - 30.0 </w:t>
                  </w:r>
                  <w:proofErr w:type="spellStart"/>
                  <w:r w:rsidRPr="006600C9">
                    <w:rPr>
                      <w:rFonts w:ascii="Times New Roman" w:eastAsia="Times New Roman" w:hAnsi="Times New Roman" w:cs="Times New Roman"/>
                      <w:sz w:val="18"/>
                      <w:szCs w:val="18"/>
                      <w:lang w:eastAsia="uk-UA"/>
                    </w:rPr>
                    <w:t>мілілітр</w:t>
                  </w:r>
                  <w:proofErr w:type="spellEnd"/>
                </w:p>
              </w:tc>
            </w:tr>
          </w:tbl>
          <w:p w14:paraId="1B66C098"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4FF74004" w14:textId="0C8B1DEC"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Закладки-стікери, 12х45х125мм., прапорці, пластик 5 кольорів</w:t>
            </w:r>
            <w:r w:rsidR="00DD02C1">
              <w:rPr>
                <w:rFonts w:ascii="Times New Roman" w:eastAsia="Times New Roman" w:hAnsi="Times New Roman" w:cs="Times New Roman"/>
                <w:color w:val="333333"/>
                <w:sz w:val="18"/>
                <w:szCs w:val="18"/>
                <w:lang w:eastAsia="uk-UA"/>
              </w:rPr>
              <w:t>-200шт</w:t>
            </w:r>
          </w:p>
          <w:p w14:paraId="5B5FA727"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7F9C6ADD"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2EBCAF79"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422A187C"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17A4934B"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1FB37206"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6C31A640"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FA31C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53716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пластик</w:t>
                  </w:r>
                </w:p>
              </w:tc>
            </w:tr>
            <w:tr w:rsidR="006600C9" w:rsidRPr="006600C9" w14:paraId="33B96E76"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C3C36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Тип</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2D5F9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з клейким шаром</w:t>
                  </w:r>
                </w:p>
              </w:tc>
            </w:tr>
            <w:tr w:rsidR="006600C9" w:rsidRPr="006600C9" w14:paraId="3456C164"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CF84B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Форма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22AD1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прапорці</w:t>
                  </w:r>
                </w:p>
              </w:tc>
            </w:tr>
            <w:tr w:rsidR="006600C9" w:rsidRPr="006600C9" w14:paraId="4814B791"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45ED1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Розмір</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A5B4C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45x12 мм</w:t>
                  </w:r>
                </w:p>
              </w:tc>
            </w:tr>
            <w:tr w:rsidR="006600C9" w:rsidRPr="006600C9" w14:paraId="5CDCCC98"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D312E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Кількість в упаковці</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8866C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125 штука</w:t>
                  </w:r>
                </w:p>
              </w:tc>
            </w:tr>
            <w:tr w:rsidR="006600C9" w:rsidRPr="006600C9" w14:paraId="02D80500"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A1C24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Кількість кольорів</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A7F111"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5 штука</w:t>
                  </w:r>
                </w:p>
              </w:tc>
            </w:tr>
          </w:tbl>
          <w:p w14:paraId="3D98D8B2"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54F05D6F" w14:textId="500796FD" w:rsidR="006600C9" w:rsidRPr="006600C9" w:rsidRDefault="00DD02C1" w:rsidP="006600C9">
            <w:pPr>
              <w:shd w:val="clear" w:color="auto" w:fill="FFFFFF"/>
              <w:textAlignment w:val="baseline"/>
              <w:rPr>
                <w:rFonts w:ascii="Times New Roman" w:eastAsia="Times New Roman" w:hAnsi="Times New Roman" w:cs="Times New Roman"/>
                <w:b/>
                <w:bCs/>
                <w:color w:val="333333"/>
                <w:sz w:val="18"/>
                <w:szCs w:val="18"/>
                <w:lang w:eastAsia="uk-UA"/>
              </w:rPr>
            </w:pPr>
            <w:r>
              <w:rPr>
                <w:rFonts w:ascii="Times New Roman" w:eastAsia="Times New Roman" w:hAnsi="Times New Roman" w:cs="Times New Roman"/>
                <w:b/>
                <w:bCs/>
                <w:color w:val="333333"/>
                <w:sz w:val="18"/>
                <w:szCs w:val="18"/>
                <w:lang w:eastAsia="uk-UA"/>
              </w:rPr>
              <w:t>І</w:t>
            </w:r>
            <w:r w:rsidR="006600C9" w:rsidRPr="006600C9">
              <w:rPr>
                <w:rFonts w:ascii="Times New Roman" w:eastAsia="Times New Roman" w:hAnsi="Times New Roman" w:cs="Times New Roman"/>
                <w:b/>
                <w:bCs/>
                <w:color w:val="333333"/>
                <w:sz w:val="18"/>
                <w:szCs w:val="18"/>
                <w:lang w:eastAsia="uk-UA"/>
              </w:rPr>
              <w:t>нформація про профіль</w:t>
            </w:r>
          </w:p>
          <w:p w14:paraId="243D4371" w14:textId="22436F44"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Маркер для виділення тексту, клиноподібний, 1-5 мм, червоний</w:t>
            </w:r>
            <w:r w:rsidR="00DD02C1">
              <w:rPr>
                <w:rFonts w:ascii="Times New Roman" w:eastAsia="Times New Roman" w:hAnsi="Times New Roman" w:cs="Times New Roman"/>
                <w:color w:val="333333"/>
                <w:sz w:val="18"/>
                <w:szCs w:val="18"/>
                <w:lang w:eastAsia="uk-UA"/>
              </w:rPr>
              <w:t>-50шт</w:t>
            </w:r>
          </w:p>
          <w:p w14:paraId="5D5110E7"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0A02595E"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172B30C2"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55F5A5DE"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6EFA527F"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143BD20B"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3DF4FB74"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E9267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767861"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червоний</w:t>
                  </w:r>
                </w:p>
              </w:tc>
            </w:tr>
            <w:tr w:rsidR="006600C9" w:rsidRPr="006600C9" w14:paraId="62175427"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5F5F4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Набір</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7D7850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Ні</w:t>
                  </w:r>
                </w:p>
              </w:tc>
            </w:tr>
            <w:tr w:rsidR="006600C9" w:rsidRPr="006600C9" w14:paraId="14242E61"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044A9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Товщина лінії письма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AF38D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1-5</w:t>
                  </w:r>
                </w:p>
              </w:tc>
            </w:tr>
            <w:tr w:rsidR="006600C9" w:rsidRPr="006600C9" w14:paraId="1A214C21"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14016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Пишучий вузол</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868EC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клиноподібний</w:t>
                  </w:r>
                </w:p>
              </w:tc>
            </w:tr>
            <w:tr w:rsidR="006600C9" w:rsidRPr="006600C9" w14:paraId="62BF4615"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7258E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Призначення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C9FB6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для виділення тексту</w:t>
                  </w:r>
                </w:p>
              </w:tc>
            </w:tr>
          </w:tbl>
          <w:p w14:paraId="331B8990"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6E3B7DF7"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7B5C70E7" w14:textId="1EEF1B32"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Скріпки металеві 25мм, круглі, оцинковані, 100шт.</w:t>
            </w:r>
            <w:r w:rsidR="00DD02C1">
              <w:rPr>
                <w:rFonts w:ascii="Times New Roman" w:eastAsia="Times New Roman" w:hAnsi="Times New Roman" w:cs="Times New Roman"/>
                <w:color w:val="333333"/>
                <w:sz w:val="18"/>
                <w:szCs w:val="18"/>
                <w:lang w:eastAsia="uk-UA"/>
              </w:rPr>
              <w:t>-100шт</w:t>
            </w:r>
          </w:p>
          <w:p w14:paraId="246437A5"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33B773CF"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lastRenderedPageBreak/>
              <w:t>30190000-7 Офісне устаткування та приладдя різне</w:t>
            </w:r>
          </w:p>
          <w:p w14:paraId="1FE28EE3"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5E737B24"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51906744"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2BD67C83"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1B036F7F"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47EDD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Форма корпусу</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7C422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круглі</w:t>
                  </w:r>
                </w:p>
              </w:tc>
            </w:tr>
            <w:tr w:rsidR="006600C9" w:rsidRPr="006600C9" w14:paraId="6DFF88CE"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D928F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06412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метал</w:t>
                  </w:r>
                </w:p>
              </w:tc>
            </w:tr>
            <w:tr w:rsidR="006600C9" w:rsidRPr="006600C9" w14:paraId="54FA27A4"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3033C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Покриття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73F5DB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оцинковані</w:t>
                  </w:r>
                </w:p>
              </w:tc>
            </w:tr>
            <w:tr w:rsidR="006600C9" w:rsidRPr="006600C9" w14:paraId="34304F24"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CF9E6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Розмір</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FD083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25 міліметр</w:t>
                  </w:r>
                </w:p>
              </w:tc>
            </w:tr>
            <w:tr w:rsidR="006600C9" w:rsidRPr="006600C9" w14:paraId="74298C93"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58DDE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Кількість в пачці</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46189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100 штука</w:t>
                  </w:r>
                </w:p>
              </w:tc>
            </w:tr>
          </w:tbl>
          <w:p w14:paraId="3BE630C9"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5E705297"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161D4645" w14:textId="4124E4C8"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Паперові блоки для нотаток непроклеєні, від 50 г/м2, 90х90мм, 1000 шт</w:t>
            </w:r>
            <w:r w:rsidR="00DD02C1">
              <w:rPr>
                <w:rFonts w:ascii="Times New Roman" w:eastAsia="Times New Roman" w:hAnsi="Times New Roman" w:cs="Times New Roman"/>
                <w:color w:val="333333"/>
                <w:sz w:val="18"/>
                <w:szCs w:val="18"/>
                <w:lang w:eastAsia="uk-UA"/>
              </w:rPr>
              <w:t>-200шт</w:t>
            </w:r>
          </w:p>
          <w:p w14:paraId="7C1D8F9E"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151B9657"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5E63377C"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4445C147"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1F546C83"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04D3969D"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5D89D5E2"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149C21"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Тип склеювання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B687F1"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непроклеєний</w:t>
                  </w:r>
                </w:p>
              </w:tc>
            </w:tr>
            <w:tr w:rsidR="006600C9" w:rsidRPr="006600C9" w14:paraId="7D174F1B"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DF14D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З клейким шаром</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2E8E5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Ні</w:t>
                  </w:r>
                </w:p>
              </w:tc>
            </w:tr>
            <w:tr w:rsidR="006600C9" w:rsidRPr="006600C9" w14:paraId="480F8823"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42C52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Кількість листів</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925D3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1000 штука</w:t>
                  </w:r>
                </w:p>
              </w:tc>
            </w:tr>
            <w:tr w:rsidR="006600C9" w:rsidRPr="006600C9" w14:paraId="064A40EB"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E6802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Щільність паперу</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D039E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55 грам на квадратний метр</w:t>
                  </w:r>
                </w:p>
              </w:tc>
            </w:tr>
            <w:tr w:rsidR="006600C9" w:rsidRPr="006600C9" w14:paraId="5BADF1EF"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A91D5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Довжина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D82FC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90 міліметр</w:t>
                  </w:r>
                </w:p>
              </w:tc>
            </w:tr>
            <w:tr w:rsidR="006600C9" w:rsidRPr="006600C9" w14:paraId="3B06F0BE"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27355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Ширина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362A7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90 міліметр</w:t>
                  </w:r>
                </w:p>
              </w:tc>
            </w:tr>
          </w:tbl>
          <w:p w14:paraId="64861030"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0627FD00" w14:textId="638328C2"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proofErr w:type="spellStart"/>
            <w:r w:rsidRPr="006600C9">
              <w:rPr>
                <w:rFonts w:ascii="Times New Roman" w:eastAsia="Times New Roman" w:hAnsi="Times New Roman" w:cs="Times New Roman"/>
                <w:color w:val="333333"/>
                <w:sz w:val="18"/>
                <w:szCs w:val="18"/>
                <w:lang w:eastAsia="uk-UA"/>
              </w:rPr>
              <w:t>Степлер</w:t>
            </w:r>
            <w:proofErr w:type="spellEnd"/>
            <w:r w:rsidRPr="006600C9">
              <w:rPr>
                <w:rFonts w:ascii="Times New Roman" w:eastAsia="Times New Roman" w:hAnsi="Times New Roman" w:cs="Times New Roman"/>
                <w:color w:val="333333"/>
                <w:sz w:val="18"/>
                <w:szCs w:val="18"/>
                <w:lang w:eastAsia="uk-UA"/>
              </w:rPr>
              <w:t xml:space="preserve"> , №24/6-26/6, 30 арк., глибина скріплення 65мм, метал</w:t>
            </w:r>
            <w:r w:rsidR="00DD02C1">
              <w:rPr>
                <w:rFonts w:ascii="Times New Roman" w:eastAsia="Times New Roman" w:hAnsi="Times New Roman" w:cs="Times New Roman"/>
                <w:color w:val="333333"/>
                <w:sz w:val="18"/>
                <w:szCs w:val="18"/>
                <w:lang w:eastAsia="uk-UA"/>
              </w:rPr>
              <w:t>-10шт</w:t>
            </w:r>
          </w:p>
          <w:p w14:paraId="47218A45"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6CC2456A"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73EDF73B"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5ECD9B56"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0B3278DD"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2A537574"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29DE5976"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CD14E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корпуса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A8840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метал</w:t>
                  </w:r>
                </w:p>
              </w:tc>
            </w:tr>
            <w:tr w:rsidR="006600C9" w:rsidRPr="006600C9" w14:paraId="6A786767"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1AD7F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Скоба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DAE462"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24/6, 26/6</w:t>
                  </w:r>
                </w:p>
              </w:tc>
            </w:tr>
            <w:tr w:rsidR="006600C9" w:rsidRPr="006600C9" w14:paraId="7A5001C6"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23D88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 корпусу</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365B0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чорний</w:t>
                  </w:r>
                </w:p>
              </w:tc>
            </w:tr>
            <w:tr w:rsidR="006600C9" w:rsidRPr="006600C9" w14:paraId="6A7224FD"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60F30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Глибина скріплення</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584C41"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Від: 65 міліметр</w:t>
                  </w:r>
                </w:p>
              </w:tc>
            </w:tr>
            <w:tr w:rsidR="006600C9" w:rsidRPr="006600C9" w14:paraId="7EAE65BA"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01F3C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Скріплює аркушів</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F1C20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Від: 30 штука</w:t>
                  </w:r>
                </w:p>
              </w:tc>
            </w:tr>
          </w:tbl>
          <w:p w14:paraId="21055148"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39F86638"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17E1E1F1"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4FA5A4F4" w14:textId="5C6E160C"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Ручка кулькова, автоматична, пластиковий корпус, пише синім, 0,5мм</w:t>
            </w:r>
            <w:r w:rsidR="00DD02C1">
              <w:rPr>
                <w:rFonts w:ascii="Times New Roman" w:eastAsia="Times New Roman" w:hAnsi="Times New Roman" w:cs="Times New Roman"/>
                <w:color w:val="333333"/>
                <w:sz w:val="18"/>
                <w:szCs w:val="18"/>
                <w:lang w:eastAsia="uk-UA"/>
              </w:rPr>
              <w:t>-200шт</w:t>
            </w:r>
          </w:p>
          <w:p w14:paraId="20B60CA5"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lastRenderedPageBreak/>
              <w:t>Код ДК 021:2015</w:t>
            </w:r>
          </w:p>
          <w:p w14:paraId="030FCDEB"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105B57C9"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6600C9" w:rsidRPr="006600C9" w14:paraId="7646BE7D"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1B438255"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07EBA5DD"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5C7565B8"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06ABE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Тип</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FCDB4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кулькова</w:t>
                  </w:r>
                </w:p>
              </w:tc>
            </w:tr>
            <w:tr w:rsidR="006600C9" w:rsidRPr="006600C9" w14:paraId="6CBE0426"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CC3AC2"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Вид</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F6F91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автоматична</w:t>
                  </w:r>
                </w:p>
              </w:tc>
            </w:tr>
            <w:tr w:rsidR="006600C9" w:rsidRPr="006600C9" w14:paraId="0FF481DF"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B2132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корпусу</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948D1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пластик</w:t>
                  </w:r>
                </w:p>
              </w:tc>
            </w:tr>
            <w:tr w:rsidR="006600C9" w:rsidRPr="006600C9" w14:paraId="7F8597CC"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27006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 чорнила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48738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синій</w:t>
                  </w:r>
                </w:p>
              </w:tc>
            </w:tr>
            <w:tr w:rsidR="006600C9" w:rsidRPr="006600C9" w14:paraId="427B934B"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1D7A6D"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Товщина лінії</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EE714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0.5 міліметр</w:t>
                  </w:r>
                </w:p>
              </w:tc>
            </w:tr>
          </w:tbl>
          <w:p w14:paraId="1B0A909A" w14:textId="72837903" w:rsidR="006600C9" w:rsidRDefault="006600C9" w:rsidP="006600C9">
            <w:pPr>
              <w:tabs>
                <w:tab w:val="left" w:pos="993"/>
              </w:tabs>
              <w:suppressAutoHyphens/>
              <w:jc w:val="both"/>
              <w:rPr>
                <w:rFonts w:ascii="Times New Roman" w:hAnsi="Times New Roman" w:cs="Times New Roman"/>
                <w:sz w:val="18"/>
                <w:szCs w:val="18"/>
              </w:rPr>
            </w:pPr>
          </w:p>
          <w:p w14:paraId="38C66D3D" w14:textId="2F598E75" w:rsidR="00DD02C1" w:rsidRDefault="00DD02C1" w:rsidP="006600C9">
            <w:pPr>
              <w:tabs>
                <w:tab w:val="left" w:pos="993"/>
              </w:tabs>
              <w:suppressAutoHyphens/>
              <w:jc w:val="both"/>
              <w:rPr>
                <w:rFonts w:ascii="Times New Roman" w:hAnsi="Times New Roman" w:cs="Times New Roman"/>
                <w:sz w:val="18"/>
                <w:szCs w:val="18"/>
              </w:rPr>
            </w:pPr>
          </w:p>
          <w:p w14:paraId="2CCB2776" w14:textId="3DB5835B" w:rsidR="00DD02C1" w:rsidRPr="00DD02C1" w:rsidRDefault="00DD02C1" w:rsidP="00DD02C1">
            <w:pPr>
              <w:shd w:val="clear" w:color="auto" w:fill="FFFFFF"/>
              <w:textAlignment w:val="baseline"/>
              <w:rPr>
                <w:rFonts w:ascii="inherit" w:eastAsia="Times New Roman" w:hAnsi="inherit" w:cs="Arial"/>
                <w:b/>
                <w:bCs/>
                <w:color w:val="333333"/>
                <w:sz w:val="18"/>
                <w:szCs w:val="18"/>
                <w:lang w:eastAsia="uk-UA"/>
              </w:rPr>
            </w:pPr>
            <w:r w:rsidRPr="00DD02C1">
              <w:rPr>
                <w:rFonts w:ascii="inherit" w:eastAsia="Times New Roman" w:hAnsi="inherit" w:cs="Arial"/>
                <w:b/>
                <w:bCs/>
                <w:color w:val="333333"/>
                <w:sz w:val="18"/>
                <w:szCs w:val="18"/>
                <w:lang w:eastAsia="uk-UA"/>
              </w:rPr>
              <w:t>Інформація про профіль</w:t>
            </w:r>
          </w:p>
          <w:p w14:paraId="08B5991C" w14:textId="5EF37AA9" w:rsidR="00DD02C1" w:rsidRPr="00DD02C1" w:rsidRDefault="00DD02C1" w:rsidP="00DD02C1">
            <w:pPr>
              <w:shd w:val="clear" w:color="auto" w:fill="FFFFFF"/>
              <w:textAlignment w:val="baseline"/>
              <w:rPr>
                <w:rFonts w:ascii="Arial" w:eastAsia="Times New Roman" w:hAnsi="Arial" w:cs="Arial"/>
                <w:color w:val="333333"/>
                <w:sz w:val="18"/>
                <w:szCs w:val="18"/>
                <w:lang w:eastAsia="uk-UA"/>
              </w:rPr>
            </w:pPr>
            <w:r w:rsidRPr="00DD02C1">
              <w:rPr>
                <w:rFonts w:ascii="Arial" w:eastAsia="Times New Roman" w:hAnsi="Arial" w:cs="Arial"/>
                <w:color w:val="333333"/>
                <w:sz w:val="18"/>
                <w:szCs w:val="18"/>
                <w:lang w:eastAsia="uk-UA"/>
              </w:rPr>
              <w:t>Ручка кулькова, автоматична, пластиковий корпус, пише синім, 0,5мм-100шт</w:t>
            </w:r>
          </w:p>
          <w:p w14:paraId="39BF8656" w14:textId="77777777" w:rsidR="00DD02C1" w:rsidRPr="00DD02C1" w:rsidRDefault="00DD02C1" w:rsidP="00DD02C1">
            <w:pPr>
              <w:shd w:val="clear" w:color="auto" w:fill="FFFFFF"/>
              <w:textAlignment w:val="baseline"/>
              <w:rPr>
                <w:rFonts w:ascii="inherit" w:eastAsia="Times New Roman" w:hAnsi="inherit" w:cs="Arial"/>
                <w:b/>
                <w:bCs/>
                <w:color w:val="333333"/>
                <w:sz w:val="18"/>
                <w:szCs w:val="18"/>
                <w:lang w:eastAsia="uk-UA"/>
              </w:rPr>
            </w:pPr>
            <w:r w:rsidRPr="00DD02C1">
              <w:rPr>
                <w:rFonts w:ascii="inherit" w:eastAsia="Times New Roman" w:hAnsi="inherit" w:cs="Arial"/>
                <w:b/>
                <w:bCs/>
                <w:color w:val="333333"/>
                <w:sz w:val="18"/>
                <w:szCs w:val="18"/>
                <w:lang w:eastAsia="uk-UA"/>
              </w:rPr>
              <w:t>Код ДК 021:2015</w:t>
            </w:r>
          </w:p>
          <w:p w14:paraId="03916FCE" w14:textId="77777777" w:rsidR="00DD02C1" w:rsidRPr="00DD02C1" w:rsidRDefault="00DD02C1" w:rsidP="00DD02C1">
            <w:pPr>
              <w:shd w:val="clear" w:color="auto" w:fill="FFFFFF"/>
              <w:textAlignment w:val="baseline"/>
              <w:rPr>
                <w:rFonts w:ascii="Arial" w:eastAsia="Times New Roman" w:hAnsi="Arial" w:cs="Arial"/>
                <w:color w:val="333333"/>
                <w:sz w:val="18"/>
                <w:szCs w:val="18"/>
                <w:lang w:eastAsia="uk-UA"/>
              </w:rPr>
            </w:pPr>
            <w:r w:rsidRPr="00DD02C1">
              <w:rPr>
                <w:rFonts w:ascii="Arial" w:eastAsia="Times New Roman" w:hAnsi="Arial" w:cs="Arial"/>
                <w:color w:val="333333"/>
                <w:sz w:val="18"/>
                <w:szCs w:val="18"/>
                <w:lang w:eastAsia="uk-UA"/>
              </w:rPr>
              <w:t>30190000-7 Офісне устаткування та приладдя різне</w:t>
            </w:r>
          </w:p>
          <w:p w14:paraId="7D7AEE26" w14:textId="77777777" w:rsidR="00DD02C1" w:rsidRPr="00DD02C1" w:rsidRDefault="00DD02C1" w:rsidP="00DD02C1">
            <w:pPr>
              <w:shd w:val="clear" w:color="auto" w:fill="FFFFFF"/>
              <w:textAlignment w:val="baseline"/>
              <w:rPr>
                <w:rFonts w:ascii="inherit" w:eastAsia="Times New Roman" w:hAnsi="inherit" w:cs="Arial"/>
                <w:b/>
                <w:bCs/>
                <w:color w:val="333333"/>
                <w:sz w:val="18"/>
                <w:szCs w:val="18"/>
                <w:lang w:eastAsia="uk-UA"/>
              </w:rPr>
            </w:pPr>
            <w:r w:rsidRPr="00DD02C1">
              <w:rPr>
                <w:rFonts w:ascii="inherit" w:eastAsia="Times New Roman" w:hAnsi="inherit" w:cs="Arial"/>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145"/>
              <w:gridCol w:w="2126"/>
            </w:tblGrid>
            <w:tr w:rsidR="00DD02C1" w:rsidRPr="00DD02C1" w14:paraId="12D72E2B" w14:textId="77777777" w:rsidTr="006F164E">
              <w:tc>
                <w:tcPr>
                  <w:tcW w:w="4145" w:type="dxa"/>
                  <w:tcBorders>
                    <w:top w:val="nil"/>
                    <w:left w:val="nil"/>
                    <w:bottom w:val="nil"/>
                    <w:right w:val="nil"/>
                  </w:tcBorders>
                  <w:tcMar>
                    <w:top w:w="150" w:type="dxa"/>
                    <w:left w:w="150" w:type="dxa"/>
                    <w:bottom w:w="150" w:type="dxa"/>
                    <w:right w:w="150" w:type="dxa"/>
                  </w:tcMar>
                  <w:vAlign w:val="center"/>
                  <w:hideMark/>
                </w:tcPr>
                <w:p w14:paraId="700F3079" w14:textId="77777777" w:rsidR="00DD02C1" w:rsidRPr="00DD02C1" w:rsidRDefault="00DD02C1" w:rsidP="00DD02C1">
                  <w:pPr>
                    <w:spacing w:after="0" w:line="240" w:lineRule="auto"/>
                    <w:rPr>
                      <w:rFonts w:ascii="inherit" w:eastAsia="Times New Roman" w:hAnsi="inherit" w:cs="Times New Roman"/>
                      <w:b/>
                      <w:bCs/>
                      <w:sz w:val="18"/>
                      <w:szCs w:val="18"/>
                      <w:lang w:eastAsia="uk-UA"/>
                    </w:rPr>
                  </w:pPr>
                  <w:r w:rsidRPr="00DD02C1">
                    <w:rPr>
                      <w:rFonts w:ascii="inherit" w:eastAsia="Times New Roman" w:hAnsi="inherit" w:cs="Times New Roman"/>
                      <w:b/>
                      <w:bCs/>
                      <w:sz w:val="18"/>
                      <w:szCs w:val="18"/>
                      <w:lang w:eastAsia="uk-UA"/>
                    </w:rPr>
                    <w:t>Назва параметра</w:t>
                  </w:r>
                </w:p>
              </w:tc>
              <w:tc>
                <w:tcPr>
                  <w:tcW w:w="2126" w:type="dxa"/>
                  <w:tcBorders>
                    <w:top w:val="nil"/>
                    <w:left w:val="nil"/>
                    <w:bottom w:val="nil"/>
                    <w:right w:val="nil"/>
                  </w:tcBorders>
                  <w:tcMar>
                    <w:top w:w="150" w:type="dxa"/>
                    <w:left w:w="150" w:type="dxa"/>
                    <w:bottom w:w="150" w:type="dxa"/>
                    <w:right w:w="150" w:type="dxa"/>
                  </w:tcMar>
                  <w:vAlign w:val="center"/>
                  <w:hideMark/>
                </w:tcPr>
                <w:p w14:paraId="11C377CA" w14:textId="77777777" w:rsidR="00DD02C1" w:rsidRPr="00DD02C1" w:rsidRDefault="00DD02C1" w:rsidP="00DD02C1">
                  <w:pPr>
                    <w:spacing w:after="0" w:line="240" w:lineRule="auto"/>
                    <w:rPr>
                      <w:rFonts w:ascii="inherit" w:eastAsia="Times New Roman" w:hAnsi="inherit" w:cs="Times New Roman"/>
                      <w:b/>
                      <w:bCs/>
                      <w:sz w:val="18"/>
                      <w:szCs w:val="18"/>
                      <w:lang w:eastAsia="uk-UA"/>
                    </w:rPr>
                  </w:pPr>
                  <w:r w:rsidRPr="00DD02C1">
                    <w:rPr>
                      <w:rFonts w:ascii="inherit" w:eastAsia="Times New Roman" w:hAnsi="inherit" w:cs="Times New Roman"/>
                      <w:b/>
                      <w:bCs/>
                      <w:sz w:val="18"/>
                      <w:szCs w:val="18"/>
                      <w:lang w:eastAsia="uk-UA"/>
                    </w:rPr>
                    <w:t>Значення</w:t>
                  </w:r>
                </w:p>
              </w:tc>
            </w:tr>
            <w:tr w:rsidR="00DD02C1" w:rsidRPr="00DD02C1" w14:paraId="68914F7C"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12DA6C"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Тип</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5240EB"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кулькова</w:t>
                  </w:r>
                </w:p>
              </w:tc>
            </w:tr>
            <w:tr w:rsidR="00DD02C1" w:rsidRPr="00DD02C1" w14:paraId="141CCCFF"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A33944"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Вид</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D8AAC9"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автоматична</w:t>
                  </w:r>
                </w:p>
              </w:tc>
            </w:tr>
            <w:tr w:rsidR="00DD02C1" w:rsidRPr="00DD02C1" w14:paraId="0C76FCDC"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F0FC60"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Матеріал корпусу</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0EA905"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пластик</w:t>
                  </w:r>
                </w:p>
              </w:tc>
            </w:tr>
            <w:tr w:rsidR="00DD02C1" w:rsidRPr="00DD02C1" w14:paraId="00C3F005"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CF47CE"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Колір чорнила</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029967"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синій</w:t>
                  </w:r>
                </w:p>
              </w:tc>
            </w:tr>
            <w:tr w:rsidR="00DD02C1" w:rsidRPr="00DD02C1" w14:paraId="35B06E7C" w14:textId="77777777" w:rsidTr="006F164E">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7DB9CFF"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Товщина лінії</w:t>
                  </w:r>
                </w:p>
              </w:tc>
              <w:tc>
                <w:tcPr>
                  <w:tcW w:w="212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22D0C8" w14:textId="77777777" w:rsidR="00DD02C1" w:rsidRPr="00DD02C1" w:rsidRDefault="00DD02C1" w:rsidP="00DD02C1">
                  <w:pPr>
                    <w:spacing w:after="0" w:line="240" w:lineRule="auto"/>
                    <w:rPr>
                      <w:rFonts w:ascii="Times New Roman" w:eastAsia="Times New Roman" w:hAnsi="Times New Roman" w:cs="Times New Roman"/>
                      <w:sz w:val="18"/>
                      <w:szCs w:val="18"/>
                      <w:lang w:eastAsia="uk-UA"/>
                    </w:rPr>
                  </w:pPr>
                  <w:r w:rsidRPr="00DD02C1">
                    <w:rPr>
                      <w:rFonts w:ascii="Times New Roman" w:eastAsia="Times New Roman" w:hAnsi="Times New Roman" w:cs="Times New Roman"/>
                      <w:sz w:val="18"/>
                      <w:szCs w:val="18"/>
                      <w:lang w:eastAsia="uk-UA"/>
                    </w:rPr>
                    <w:t>0.5 міліметр</w:t>
                  </w:r>
                </w:p>
              </w:tc>
            </w:tr>
          </w:tbl>
          <w:p w14:paraId="19BAFB6B" w14:textId="354BF457" w:rsidR="00DD02C1" w:rsidRPr="00DD02C1" w:rsidRDefault="00DD02C1" w:rsidP="00DD02C1">
            <w:pPr>
              <w:tabs>
                <w:tab w:val="left" w:pos="993"/>
              </w:tabs>
              <w:suppressAutoHyphens/>
              <w:jc w:val="both"/>
              <w:rPr>
                <w:rFonts w:ascii="Times New Roman" w:hAnsi="Times New Roman" w:cs="Times New Roman"/>
                <w:sz w:val="18"/>
                <w:szCs w:val="18"/>
              </w:rPr>
            </w:pPr>
          </w:p>
          <w:p w14:paraId="64F5EB0B" w14:textId="4946EAF9" w:rsidR="00DD02C1" w:rsidRDefault="00DD02C1" w:rsidP="006600C9">
            <w:pPr>
              <w:tabs>
                <w:tab w:val="left" w:pos="993"/>
              </w:tabs>
              <w:suppressAutoHyphens/>
              <w:jc w:val="both"/>
              <w:rPr>
                <w:rFonts w:ascii="Times New Roman" w:hAnsi="Times New Roman" w:cs="Times New Roman"/>
                <w:sz w:val="18"/>
                <w:szCs w:val="18"/>
              </w:rPr>
            </w:pPr>
          </w:p>
          <w:p w14:paraId="40B13477" w14:textId="77777777" w:rsidR="00DD02C1" w:rsidRPr="006600C9" w:rsidRDefault="00DD02C1" w:rsidP="006600C9">
            <w:pPr>
              <w:tabs>
                <w:tab w:val="left" w:pos="993"/>
              </w:tabs>
              <w:suppressAutoHyphens/>
              <w:jc w:val="both"/>
              <w:rPr>
                <w:rFonts w:ascii="Times New Roman" w:hAnsi="Times New Roman" w:cs="Times New Roman"/>
                <w:sz w:val="18"/>
                <w:szCs w:val="18"/>
              </w:rPr>
            </w:pPr>
          </w:p>
          <w:p w14:paraId="7C609F86"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21D4D0B1" w14:textId="067F6598"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Затискачі для паперів 32мм, 12шт. в пачці</w:t>
            </w:r>
            <w:r w:rsidR="00DD02C1">
              <w:rPr>
                <w:rFonts w:ascii="Times New Roman" w:eastAsia="Times New Roman" w:hAnsi="Times New Roman" w:cs="Times New Roman"/>
                <w:color w:val="333333"/>
                <w:sz w:val="18"/>
                <w:szCs w:val="18"/>
                <w:lang w:eastAsia="uk-UA"/>
              </w:rPr>
              <w:t>-100шт</w:t>
            </w:r>
          </w:p>
          <w:p w14:paraId="7C56D743"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2A8D11B0"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00EC5998"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10950" w:type="dxa"/>
              <w:tblLayout w:type="fixed"/>
              <w:tblCellMar>
                <w:left w:w="0" w:type="dxa"/>
                <w:right w:w="0" w:type="dxa"/>
              </w:tblCellMar>
              <w:tblLook w:val="04A0" w:firstRow="1" w:lastRow="0" w:firstColumn="1" w:lastColumn="0" w:noHBand="0" w:noVBand="1"/>
            </w:tblPr>
            <w:tblGrid>
              <w:gridCol w:w="7450"/>
              <w:gridCol w:w="3500"/>
            </w:tblGrid>
            <w:tr w:rsidR="006600C9" w:rsidRPr="006600C9" w14:paraId="50A49D4C" w14:textId="77777777" w:rsidTr="006600C9">
              <w:tc>
                <w:tcPr>
                  <w:tcW w:w="7450" w:type="dxa"/>
                  <w:tcBorders>
                    <w:top w:val="nil"/>
                    <w:left w:val="nil"/>
                    <w:bottom w:val="nil"/>
                    <w:right w:val="nil"/>
                  </w:tcBorders>
                  <w:tcMar>
                    <w:top w:w="150" w:type="dxa"/>
                    <w:left w:w="150" w:type="dxa"/>
                    <w:bottom w:w="150" w:type="dxa"/>
                    <w:right w:w="150" w:type="dxa"/>
                  </w:tcMar>
                  <w:vAlign w:val="center"/>
                  <w:hideMark/>
                </w:tcPr>
                <w:p w14:paraId="0635C8BB"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3500" w:type="dxa"/>
                  <w:tcBorders>
                    <w:top w:val="nil"/>
                    <w:left w:val="nil"/>
                    <w:bottom w:val="nil"/>
                    <w:right w:val="nil"/>
                  </w:tcBorders>
                  <w:tcMar>
                    <w:top w:w="150" w:type="dxa"/>
                    <w:left w:w="150" w:type="dxa"/>
                    <w:bottom w:w="150" w:type="dxa"/>
                    <w:right w:w="150" w:type="dxa"/>
                  </w:tcMar>
                  <w:vAlign w:val="center"/>
                  <w:hideMark/>
                </w:tcPr>
                <w:p w14:paraId="58625D5D"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260CF9B3" w14:textId="77777777" w:rsidTr="006600C9">
              <w:tc>
                <w:tcPr>
                  <w:tcW w:w="745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6334566"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Розмір</w:t>
                  </w:r>
                </w:p>
              </w:tc>
              <w:tc>
                <w:tcPr>
                  <w:tcW w:w="350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FA3D4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32 міліметр</w:t>
                  </w:r>
                </w:p>
              </w:tc>
            </w:tr>
            <w:tr w:rsidR="006600C9" w:rsidRPr="006600C9" w14:paraId="7222F8C7" w14:textId="77777777" w:rsidTr="006600C9">
              <w:tc>
                <w:tcPr>
                  <w:tcW w:w="7450"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D41102"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Кількість затискачів в пачці</w:t>
                  </w:r>
                </w:p>
              </w:tc>
              <w:tc>
                <w:tcPr>
                  <w:tcW w:w="350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9D506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12 штука</w:t>
                  </w:r>
                </w:p>
              </w:tc>
            </w:tr>
          </w:tbl>
          <w:p w14:paraId="1FA7A148"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7CE2FA2E" w14:textId="438513CC"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Щоденники недатовані, А5, від 200 арк., обкладинка бумвініл</w:t>
            </w:r>
            <w:r w:rsidR="00DD02C1">
              <w:rPr>
                <w:rFonts w:ascii="Times New Roman" w:eastAsia="Times New Roman" w:hAnsi="Times New Roman" w:cs="Times New Roman"/>
                <w:color w:val="333333"/>
                <w:sz w:val="18"/>
                <w:szCs w:val="18"/>
                <w:lang w:eastAsia="uk-UA"/>
              </w:rPr>
              <w:t>-30шт</w:t>
            </w:r>
          </w:p>
          <w:p w14:paraId="2AA4AB4D"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0A4C74BB"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3226CF8C"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287"/>
              <w:gridCol w:w="1984"/>
            </w:tblGrid>
            <w:tr w:rsidR="006600C9" w:rsidRPr="006600C9" w14:paraId="354EA124" w14:textId="77777777" w:rsidTr="006F164E">
              <w:tc>
                <w:tcPr>
                  <w:tcW w:w="4287" w:type="dxa"/>
                  <w:tcBorders>
                    <w:top w:val="nil"/>
                    <w:left w:val="nil"/>
                    <w:bottom w:val="nil"/>
                    <w:right w:val="nil"/>
                  </w:tcBorders>
                  <w:tcMar>
                    <w:top w:w="150" w:type="dxa"/>
                    <w:left w:w="150" w:type="dxa"/>
                    <w:bottom w:w="150" w:type="dxa"/>
                    <w:right w:w="150" w:type="dxa"/>
                  </w:tcMar>
                  <w:vAlign w:val="center"/>
                  <w:hideMark/>
                </w:tcPr>
                <w:p w14:paraId="15F50EBF"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1984" w:type="dxa"/>
                  <w:tcBorders>
                    <w:top w:val="nil"/>
                    <w:left w:val="nil"/>
                    <w:bottom w:val="nil"/>
                    <w:right w:val="nil"/>
                  </w:tcBorders>
                  <w:tcMar>
                    <w:top w:w="150" w:type="dxa"/>
                    <w:left w:w="150" w:type="dxa"/>
                    <w:bottom w:w="150" w:type="dxa"/>
                    <w:right w:w="150" w:type="dxa"/>
                  </w:tcMar>
                  <w:vAlign w:val="center"/>
                  <w:hideMark/>
                </w:tcPr>
                <w:p w14:paraId="7543638A"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555884D1"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88AD3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Вид</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6A9164"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щоденник</w:t>
                  </w:r>
                </w:p>
              </w:tc>
            </w:tr>
            <w:tr w:rsidR="006600C9" w:rsidRPr="006600C9" w14:paraId="106147E7"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EC177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lastRenderedPageBreak/>
                    <w:t>Тип</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4C623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недатований</w:t>
                  </w:r>
                </w:p>
              </w:tc>
            </w:tr>
            <w:tr w:rsidR="006600C9" w:rsidRPr="006600C9" w14:paraId="692A4AD7"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1033E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Формат</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A4B7C2"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А5</w:t>
                  </w:r>
                </w:p>
              </w:tc>
            </w:tr>
            <w:tr w:rsidR="006600C9" w:rsidRPr="006600C9" w14:paraId="13347B22"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86113F"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Колір внутрішнього блоку</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504A0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білий</w:t>
                  </w:r>
                </w:p>
              </w:tc>
            </w:tr>
            <w:tr w:rsidR="006600C9" w:rsidRPr="006600C9" w14:paraId="6B30B476"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648E9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обкладинки</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BFC68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proofErr w:type="spellStart"/>
                  <w:r w:rsidRPr="006600C9">
                    <w:rPr>
                      <w:rFonts w:ascii="Times New Roman" w:eastAsia="Times New Roman" w:hAnsi="Times New Roman" w:cs="Times New Roman"/>
                      <w:sz w:val="18"/>
                      <w:szCs w:val="18"/>
                      <w:lang w:eastAsia="uk-UA"/>
                    </w:rPr>
                    <w:t>бумвініл</w:t>
                  </w:r>
                  <w:proofErr w:type="spellEnd"/>
                </w:p>
              </w:tc>
            </w:tr>
            <w:tr w:rsidR="006600C9" w:rsidRPr="006600C9" w14:paraId="71225A91"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87F74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Кількість сторінок</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925FB30"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200 - 299 штука</w:t>
                  </w:r>
                </w:p>
              </w:tc>
            </w:tr>
            <w:tr w:rsidR="006600C9" w:rsidRPr="006600C9" w14:paraId="3362BE40"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F96FB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Щільність паперу</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400091"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65 - 80 грам на квадратний метр</w:t>
                  </w:r>
                </w:p>
              </w:tc>
            </w:tr>
          </w:tbl>
          <w:p w14:paraId="08BCF339"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53CB78AB" w14:textId="7988737C"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Діркопробивачі з лінійкою, 30 листів</w:t>
            </w:r>
            <w:r w:rsidR="00DD02C1">
              <w:rPr>
                <w:rFonts w:ascii="Times New Roman" w:eastAsia="Times New Roman" w:hAnsi="Times New Roman" w:cs="Times New Roman"/>
                <w:color w:val="333333"/>
                <w:sz w:val="18"/>
                <w:szCs w:val="18"/>
                <w:lang w:eastAsia="uk-UA"/>
              </w:rPr>
              <w:t>-10шт</w:t>
            </w:r>
          </w:p>
          <w:p w14:paraId="3FE12358"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3B15BE09"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4C283BA8"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10950" w:type="dxa"/>
              <w:tblLayout w:type="fixed"/>
              <w:tblCellMar>
                <w:left w:w="0" w:type="dxa"/>
                <w:right w:w="0" w:type="dxa"/>
              </w:tblCellMar>
              <w:tblLook w:val="04A0" w:firstRow="1" w:lastRow="0" w:firstColumn="1" w:lastColumn="0" w:noHBand="0" w:noVBand="1"/>
            </w:tblPr>
            <w:tblGrid>
              <w:gridCol w:w="7054"/>
              <w:gridCol w:w="3896"/>
            </w:tblGrid>
            <w:tr w:rsidR="006600C9" w:rsidRPr="006600C9" w14:paraId="11CAE00B" w14:textId="77777777" w:rsidTr="006600C9">
              <w:tc>
                <w:tcPr>
                  <w:tcW w:w="7054" w:type="dxa"/>
                  <w:tcBorders>
                    <w:top w:val="nil"/>
                    <w:left w:val="nil"/>
                    <w:bottom w:val="nil"/>
                    <w:right w:val="nil"/>
                  </w:tcBorders>
                  <w:tcMar>
                    <w:top w:w="150" w:type="dxa"/>
                    <w:left w:w="150" w:type="dxa"/>
                    <w:bottom w:w="150" w:type="dxa"/>
                    <w:right w:w="150" w:type="dxa"/>
                  </w:tcMar>
                  <w:vAlign w:val="center"/>
                  <w:hideMark/>
                </w:tcPr>
                <w:p w14:paraId="3E857472"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3896" w:type="dxa"/>
                  <w:tcBorders>
                    <w:top w:val="nil"/>
                    <w:left w:val="nil"/>
                    <w:bottom w:val="nil"/>
                    <w:right w:val="nil"/>
                  </w:tcBorders>
                  <w:tcMar>
                    <w:top w:w="150" w:type="dxa"/>
                    <w:left w:w="150" w:type="dxa"/>
                    <w:bottom w:w="150" w:type="dxa"/>
                    <w:right w:w="150" w:type="dxa"/>
                  </w:tcMar>
                  <w:vAlign w:val="center"/>
                  <w:hideMark/>
                </w:tcPr>
                <w:p w14:paraId="20D12025"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1E74E13C" w14:textId="77777777" w:rsidTr="006600C9">
              <w:tc>
                <w:tcPr>
                  <w:tcW w:w="705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01CD1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Лінійка поділу на формати</w:t>
                  </w:r>
                </w:p>
              </w:tc>
              <w:tc>
                <w:tcPr>
                  <w:tcW w:w="38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2646BE"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Так</w:t>
                  </w:r>
                </w:p>
              </w:tc>
            </w:tr>
            <w:tr w:rsidR="006600C9" w:rsidRPr="006600C9" w14:paraId="76566966" w14:textId="77777777" w:rsidTr="006600C9">
              <w:tc>
                <w:tcPr>
                  <w:tcW w:w="705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F1782B"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Пробивна потужність</w:t>
                  </w:r>
                </w:p>
              </w:tc>
              <w:tc>
                <w:tcPr>
                  <w:tcW w:w="389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9BB408"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30 - 35 аркуш</w:t>
                  </w:r>
                </w:p>
              </w:tc>
            </w:tr>
          </w:tbl>
          <w:p w14:paraId="532AF059"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Інформація про профіль</w:t>
            </w:r>
          </w:p>
          <w:p w14:paraId="31535C93" w14:textId="2CDAF20C"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 xml:space="preserve">Ножиці від 210 мм, металеві ручки з </w:t>
            </w:r>
            <w:proofErr w:type="spellStart"/>
            <w:r w:rsidRPr="006600C9">
              <w:rPr>
                <w:rFonts w:ascii="Times New Roman" w:eastAsia="Times New Roman" w:hAnsi="Times New Roman" w:cs="Times New Roman"/>
                <w:color w:val="333333"/>
                <w:sz w:val="18"/>
                <w:szCs w:val="18"/>
                <w:lang w:eastAsia="uk-UA"/>
              </w:rPr>
              <w:t>ергоном</w:t>
            </w:r>
            <w:proofErr w:type="spellEnd"/>
            <w:r w:rsidRPr="006600C9">
              <w:rPr>
                <w:rFonts w:ascii="Times New Roman" w:eastAsia="Times New Roman" w:hAnsi="Times New Roman" w:cs="Times New Roman"/>
                <w:color w:val="333333"/>
                <w:sz w:val="18"/>
                <w:szCs w:val="18"/>
                <w:lang w:eastAsia="uk-UA"/>
              </w:rPr>
              <w:t xml:space="preserve">. </w:t>
            </w:r>
            <w:r w:rsidR="00DD02C1" w:rsidRPr="006600C9">
              <w:rPr>
                <w:rFonts w:ascii="Times New Roman" w:eastAsia="Times New Roman" w:hAnsi="Times New Roman" w:cs="Times New Roman"/>
                <w:color w:val="333333"/>
                <w:sz w:val="18"/>
                <w:szCs w:val="18"/>
                <w:lang w:eastAsia="uk-UA"/>
              </w:rPr>
              <w:t>В</w:t>
            </w:r>
            <w:r w:rsidRPr="006600C9">
              <w:rPr>
                <w:rFonts w:ascii="Times New Roman" w:eastAsia="Times New Roman" w:hAnsi="Times New Roman" w:cs="Times New Roman"/>
                <w:color w:val="333333"/>
                <w:sz w:val="18"/>
                <w:szCs w:val="18"/>
                <w:lang w:eastAsia="uk-UA"/>
              </w:rPr>
              <w:t>ставками</w:t>
            </w:r>
            <w:r w:rsidR="00DD02C1">
              <w:rPr>
                <w:rFonts w:ascii="Times New Roman" w:eastAsia="Times New Roman" w:hAnsi="Times New Roman" w:cs="Times New Roman"/>
                <w:color w:val="333333"/>
                <w:sz w:val="18"/>
                <w:szCs w:val="18"/>
                <w:lang w:eastAsia="uk-UA"/>
              </w:rPr>
              <w:t>-30шт</w:t>
            </w:r>
          </w:p>
          <w:p w14:paraId="66134FDD"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Код ДК 021:2015</w:t>
            </w:r>
          </w:p>
          <w:p w14:paraId="0DEBB0AC" w14:textId="77777777" w:rsidR="006600C9" w:rsidRPr="006600C9" w:rsidRDefault="006600C9" w:rsidP="006600C9">
            <w:pPr>
              <w:shd w:val="clear" w:color="auto" w:fill="FFFFFF"/>
              <w:textAlignment w:val="baseline"/>
              <w:rPr>
                <w:rFonts w:ascii="Times New Roman" w:eastAsia="Times New Roman" w:hAnsi="Times New Roman" w:cs="Times New Roman"/>
                <w:color w:val="333333"/>
                <w:sz w:val="18"/>
                <w:szCs w:val="18"/>
                <w:lang w:eastAsia="uk-UA"/>
              </w:rPr>
            </w:pPr>
            <w:r w:rsidRPr="006600C9">
              <w:rPr>
                <w:rFonts w:ascii="Times New Roman" w:eastAsia="Times New Roman" w:hAnsi="Times New Roman" w:cs="Times New Roman"/>
                <w:color w:val="333333"/>
                <w:sz w:val="18"/>
                <w:szCs w:val="18"/>
                <w:lang w:eastAsia="uk-UA"/>
              </w:rPr>
              <w:t>30190000-7 Офісне устаткування та приладдя різне</w:t>
            </w:r>
          </w:p>
          <w:p w14:paraId="25E572BB" w14:textId="77777777" w:rsidR="006600C9" w:rsidRPr="006600C9" w:rsidRDefault="006600C9" w:rsidP="006600C9">
            <w:pPr>
              <w:shd w:val="clear" w:color="auto" w:fill="FFFFFF"/>
              <w:textAlignment w:val="baseline"/>
              <w:rPr>
                <w:rFonts w:ascii="Times New Roman" w:eastAsia="Times New Roman" w:hAnsi="Times New Roman" w:cs="Times New Roman"/>
                <w:b/>
                <w:bCs/>
                <w:color w:val="333333"/>
                <w:sz w:val="18"/>
                <w:szCs w:val="18"/>
                <w:lang w:eastAsia="uk-UA"/>
              </w:rPr>
            </w:pPr>
            <w:r w:rsidRPr="006600C9">
              <w:rPr>
                <w:rFonts w:ascii="Times New Roman" w:eastAsia="Times New Roman" w:hAnsi="Times New Roman" w:cs="Times New Roman"/>
                <w:b/>
                <w:bCs/>
                <w:color w:val="333333"/>
                <w:sz w:val="18"/>
                <w:szCs w:val="18"/>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4287"/>
              <w:gridCol w:w="1984"/>
            </w:tblGrid>
            <w:tr w:rsidR="006600C9" w:rsidRPr="006600C9" w14:paraId="2E132548" w14:textId="77777777" w:rsidTr="006F164E">
              <w:tc>
                <w:tcPr>
                  <w:tcW w:w="4287" w:type="dxa"/>
                  <w:tcBorders>
                    <w:top w:val="nil"/>
                    <w:left w:val="nil"/>
                    <w:bottom w:val="nil"/>
                    <w:right w:val="nil"/>
                  </w:tcBorders>
                  <w:tcMar>
                    <w:top w:w="150" w:type="dxa"/>
                    <w:left w:w="150" w:type="dxa"/>
                    <w:bottom w:w="150" w:type="dxa"/>
                    <w:right w:w="150" w:type="dxa"/>
                  </w:tcMar>
                  <w:vAlign w:val="center"/>
                  <w:hideMark/>
                </w:tcPr>
                <w:p w14:paraId="6E6F24E8"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Назва параметра</w:t>
                  </w:r>
                </w:p>
              </w:tc>
              <w:tc>
                <w:tcPr>
                  <w:tcW w:w="1984" w:type="dxa"/>
                  <w:tcBorders>
                    <w:top w:val="nil"/>
                    <w:left w:val="nil"/>
                    <w:bottom w:val="nil"/>
                    <w:right w:val="nil"/>
                  </w:tcBorders>
                  <w:tcMar>
                    <w:top w:w="150" w:type="dxa"/>
                    <w:left w:w="150" w:type="dxa"/>
                    <w:bottom w:w="150" w:type="dxa"/>
                    <w:right w:w="150" w:type="dxa"/>
                  </w:tcMar>
                  <w:vAlign w:val="center"/>
                  <w:hideMark/>
                </w:tcPr>
                <w:p w14:paraId="38E7C23B" w14:textId="77777777" w:rsidR="006600C9" w:rsidRPr="006600C9" w:rsidRDefault="006600C9" w:rsidP="006600C9">
                  <w:pPr>
                    <w:spacing w:after="0" w:line="240" w:lineRule="auto"/>
                    <w:rPr>
                      <w:rFonts w:ascii="Times New Roman" w:eastAsia="Times New Roman" w:hAnsi="Times New Roman" w:cs="Times New Roman"/>
                      <w:b/>
                      <w:bCs/>
                      <w:sz w:val="18"/>
                      <w:szCs w:val="18"/>
                      <w:lang w:eastAsia="uk-UA"/>
                    </w:rPr>
                  </w:pPr>
                  <w:r w:rsidRPr="006600C9">
                    <w:rPr>
                      <w:rFonts w:ascii="Times New Roman" w:eastAsia="Times New Roman" w:hAnsi="Times New Roman" w:cs="Times New Roman"/>
                      <w:b/>
                      <w:bCs/>
                      <w:sz w:val="18"/>
                      <w:szCs w:val="18"/>
                      <w:lang w:eastAsia="uk-UA"/>
                    </w:rPr>
                    <w:t>Значення</w:t>
                  </w:r>
                </w:p>
              </w:tc>
            </w:tr>
            <w:tr w:rsidR="006600C9" w:rsidRPr="006600C9" w14:paraId="2134B3C0"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89F87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Наявність ергономічних вставок</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0D1D95"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Так</w:t>
                  </w:r>
                </w:p>
              </w:tc>
            </w:tr>
            <w:tr w:rsidR="006600C9" w:rsidRPr="006600C9" w14:paraId="0BBD15E1"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E07F53"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леза</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81844C"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сталь нержавіюча</w:t>
                  </w:r>
                </w:p>
              </w:tc>
            </w:tr>
            <w:tr w:rsidR="006600C9" w:rsidRPr="006600C9" w14:paraId="4796C04E"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FFD0A0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Матеріал ручок</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770F67"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метал</w:t>
                  </w:r>
                </w:p>
              </w:tc>
            </w:tr>
            <w:tr w:rsidR="006600C9" w:rsidRPr="006600C9" w14:paraId="73B163E9" w14:textId="77777777" w:rsidTr="006F164E">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5C3AA9"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Довжина загальна</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436CCA" w14:textId="77777777" w:rsidR="006600C9" w:rsidRPr="006600C9" w:rsidRDefault="006600C9" w:rsidP="006600C9">
                  <w:pPr>
                    <w:spacing w:after="0" w:line="240" w:lineRule="auto"/>
                    <w:rPr>
                      <w:rFonts w:ascii="Times New Roman" w:eastAsia="Times New Roman" w:hAnsi="Times New Roman" w:cs="Times New Roman"/>
                      <w:sz w:val="18"/>
                      <w:szCs w:val="18"/>
                      <w:lang w:eastAsia="uk-UA"/>
                    </w:rPr>
                  </w:pPr>
                  <w:r w:rsidRPr="006600C9">
                    <w:rPr>
                      <w:rFonts w:ascii="Times New Roman" w:eastAsia="Times New Roman" w:hAnsi="Times New Roman" w:cs="Times New Roman"/>
                      <w:sz w:val="18"/>
                      <w:szCs w:val="18"/>
                      <w:lang w:eastAsia="uk-UA"/>
                    </w:rPr>
                    <w:t>210 - 249 міліметр</w:t>
                  </w:r>
                </w:p>
              </w:tc>
            </w:tr>
          </w:tbl>
          <w:p w14:paraId="3F862D4B" w14:textId="77777777" w:rsidR="006600C9" w:rsidRPr="006600C9" w:rsidRDefault="006600C9" w:rsidP="006600C9">
            <w:pPr>
              <w:tabs>
                <w:tab w:val="left" w:pos="993"/>
              </w:tabs>
              <w:suppressAutoHyphens/>
              <w:jc w:val="both"/>
              <w:rPr>
                <w:rFonts w:ascii="Times New Roman" w:hAnsi="Times New Roman" w:cs="Times New Roman"/>
                <w:sz w:val="18"/>
                <w:szCs w:val="18"/>
              </w:rPr>
            </w:pPr>
          </w:p>
          <w:p w14:paraId="2DAF0535" w14:textId="092081DA" w:rsidR="006600C9" w:rsidRPr="0058087E" w:rsidRDefault="006600C9" w:rsidP="00DD02C1">
            <w:pPr>
              <w:tabs>
                <w:tab w:val="left" w:pos="993"/>
              </w:tabs>
              <w:suppressAutoHyphens/>
              <w:jc w:val="both"/>
              <w:rPr>
                <w:rFonts w:ascii="Times New Roman" w:hAnsi="Times New Roman" w:cs="Times New Roman"/>
              </w:rPr>
            </w:pPr>
          </w:p>
        </w:tc>
      </w:tr>
      <w:tr w:rsidR="004B0BE3" w:rsidRPr="000C205A" w14:paraId="2DAF053C" w14:textId="77777777" w:rsidTr="00DD02C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38F2"/>
    <w:rsid w:val="001D3B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7270"/>
    <w:rsid w:val="00307920"/>
    <w:rsid w:val="003123BE"/>
    <w:rsid w:val="003169BB"/>
    <w:rsid w:val="00317EA6"/>
    <w:rsid w:val="00326C89"/>
    <w:rsid w:val="00331F76"/>
    <w:rsid w:val="003343EB"/>
    <w:rsid w:val="00342959"/>
    <w:rsid w:val="0034497E"/>
    <w:rsid w:val="00344CBE"/>
    <w:rsid w:val="00344D2D"/>
    <w:rsid w:val="00345CC6"/>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7E1E"/>
    <w:rsid w:val="0058087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36F8"/>
    <w:rsid w:val="00683D19"/>
    <w:rsid w:val="006863CF"/>
    <w:rsid w:val="00686DBF"/>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78DA"/>
    <w:rsid w:val="009F006A"/>
    <w:rsid w:val="009F38E0"/>
    <w:rsid w:val="00A007F2"/>
    <w:rsid w:val="00A01892"/>
    <w:rsid w:val="00A01982"/>
    <w:rsid w:val="00A03BB0"/>
    <w:rsid w:val="00A04B66"/>
    <w:rsid w:val="00A04EC5"/>
    <w:rsid w:val="00A06363"/>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39E5"/>
    <w:rsid w:val="00C578D8"/>
    <w:rsid w:val="00C6087C"/>
    <w:rsid w:val="00C60CFC"/>
    <w:rsid w:val="00C6275D"/>
    <w:rsid w:val="00C703CE"/>
    <w:rsid w:val="00C72B5B"/>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87B28"/>
    <w:rsid w:val="00D90528"/>
    <w:rsid w:val="00D914E6"/>
    <w:rsid w:val="00D91682"/>
    <w:rsid w:val="00D927E6"/>
    <w:rsid w:val="00D93788"/>
    <w:rsid w:val="00D94F7F"/>
    <w:rsid w:val="00D95590"/>
    <w:rsid w:val="00D95FFA"/>
    <w:rsid w:val="00DA2526"/>
    <w:rsid w:val="00DA27A1"/>
    <w:rsid w:val="00DA4338"/>
    <w:rsid w:val="00DB7ACD"/>
    <w:rsid w:val="00DC073F"/>
    <w:rsid w:val="00DC3A28"/>
    <w:rsid w:val="00DC4264"/>
    <w:rsid w:val="00DC706F"/>
    <w:rsid w:val="00DD02C1"/>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01F8"/>
    <w:rsid w:val="00EC661B"/>
    <w:rsid w:val="00EC747F"/>
    <w:rsid w:val="00EC7BBE"/>
    <w:rsid w:val="00ED510C"/>
    <w:rsid w:val="00ED550A"/>
    <w:rsid w:val="00ED678C"/>
    <w:rsid w:val="00EE0C56"/>
    <w:rsid w:val="00EE1266"/>
    <w:rsid w:val="00EE1FE9"/>
    <w:rsid w:val="00EE4C29"/>
    <w:rsid w:val="00EF2876"/>
    <w:rsid w:val="00EF3218"/>
    <w:rsid w:val="00EF6787"/>
    <w:rsid w:val="00EF6D6D"/>
    <w:rsid w:val="00EF7FB8"/>
    <w:rsid w:val="00F00132"/>
    <w:rsid w:val="00F05711"/>
    <w:rsid w:val="00F05C6A"/>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4366</Words>
  <Characters>2489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2025-04-09T09:00:00Z</dcterms:created>
  <dcterms:modified xsi:type="dcterms:W3CDTF">2025-04-09T09:00:00Z</dcterms:modified>
</cp:coreProperties>
</file>